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8F33" w14:textId="0808E381" w:rsidR="00DA1CC2" w:rsidRPr="00574201" w:rsidRDefault="009730C1" w:rsidP="00B63CBB">
      <w:pPr>
        <w:spacing w:after="0"/>
        <w:rPr>
          <w:b/>
          <w:bCs/>
          <w:sz w:val="28"/>
          <w:szCs w:val="28"/>
          <w:u w:val="single"/>
        </w:rPr>
      </w:pPr>
      <w:r w:rsidRPr="00574201">
        <w:rPr>
          <w:b/>
          <w:bCs/>
          <w:sz w:val="28"/>
          <w:szCs w:val="28"/>
          <w:u w:val="single"/>
        </w:rPr>
        <w:t>IET:</w:t>
      </w:r>
      <w:r w:rsidR="00DA1CC2" w:rsidRPr="00574201">
        <w:rPr>
          <w:b/>
          <w:bCs/>
          <w:sz w:val="28"/>
          <w:szCs w:val="28"/>
          <w:u w:val="single"/>
        </w:rPr>
        <w:t xml:space="preserve"> </w:t>
      </w:r>
      <w:r w:rsidR="006C2C94">
        <w:rPr>
          <w:b/>
          <w:bCs/>
          <w:sz w:val="28"/>
          <w:szCs w:val="28"/>
          <w:u w:val="single"/>
        </w:rPr>
        <w:t xml:space="preserve">Engineering </w:t>
      </w:r>
      <w:r w:rsidR="004844D2">
        <w:rPr>
          <w:b/>
          <w:bCs/>
          <w:sz w:val="28"/>
          <w:szCs w:val="28"/>
          <w:u w:val="single"/>
        </w:rPr>
        <w:t>e</w:t>
      </w:r>
      <w:r w:rsidR="006C2C94">
        <w:rPr>
          <w:b/>
          <w:bCs/>
          <w:sz w:val="28"/>
          <w:szCs w:val="28"/>
          <w:u w:val="single"/>
        </w:rPr>
        <w:t xml:space="preserve">xamples </w:t>
      </w:r>
      <w:r w:rsidR="004844D2">
        <w:rPr>
          <w:b/>
          <w:bCs/>
          <w:sz w:val="28"/>
          <w:szCs w:val="28"/>
          <w:u w:val="single"/>
        </w:rPr>
        <w:t xml:space="preserve">on the </w:t>
      </w:r>
      <w:r w:rsidR="004F6D19">
        <w:rPr>
          <w:b/>
          <w:bCs/>
          <w:sz w:val="28"/>
          <w:szCs w:val="28"/>
          <w:u w:val="single"/>
        </w:rPr>
        <w:t>I</w:t>
      </w:r>
      <w:r w:rsidR="004844D2">
        <w:rPr>
          <w:b/>
          <w:bCs/>
          <w:sz w:val="28"/>
          <w:szCs w:val="28"/>
          <w:u w:val="single"/>
        </w:rPr>
        <w:t>mpact of</w:t>
      </w:r>
      <w:r w:rsidRPr="00574201">
        <w:rPr>
          <w:b/>
          <w:bCs/>
          <w:sz w:val="28"/>
          <w:szCs w:val="28"/>
          <w:u w:val="single"/>
        </w:rPr>
        <w:t xml:space="preserve"> REUL</w:t>
      </w:r>
    </w:p>
    <w:p w14:paraId="13B8498C" w14:textId="77777777" w:rsidR="00B63CBB" w:rsidRDefault="00B63CBB" w:rsidP="00B63CBB">
      <w:pPr>
        <w:spacing w:after="0"/>
      </w:pPr>
    </w:p>
    <w:p w14:paraId="4E5DBE19" w14:textId="70721016" w:rsidR="00FB2C08" w:rsidRDefault="00CD06D6" w:rsidP="00B63CBB">
      <w:pPr>
        <w:spacing w:after="0"/>
      </w:pPr>
      <w:r>
        <w:t>This briefing f</w:t>
      </w:r>
      <w:r w:rsidR="003001D5">
        <w:t>rom the Institution of Engineering and Technology (</w:t>
      </w:r>
      <w:hyperlink r:id="rId7" w:history="1">
        <w:r w:rsidR="003001D5" w:rsidRPr="003001D5">
          <w:rPr>
            <w:rStyle w:val="Hyperlink"/>
          </w:rPr>
          <w:t>IET</w:t>
        </w:r>
      </w:hyperlink>
      <w:r w:rsidR="003001D5">
        <w:t>) provid</w:t>
      </w:r>
      <w:r>
        <w:t>es</w:t>
      </w:r>
      <w:r w:rsidR="003001D5">
        <w:t xml:space="preserve"> </w:t>
      </w:r>
      <w:r w:rsidR="009730C1">
        <w:t xml:space="preserve">some </w:t>
      </w:r>
      <w:r w:rsidR="003001D5">
        <w:t>specific examples of where the</w:t>
      </w:r>
      <w:r w:rsidR="003001D5" w:rsidRPr="007822C6">
        <w:rPr>
          <w:rFonts w:cs="Arial"/>
        </w:rPr>
        <w:t xml:space="preserve"> </w:t>
      </w:r>
      <w:hyperlink r:id="rId8" w:history="1">
        <w:r w:rsidR="003001D5" w:rsidRPr="007822C6">
          <w:rPr>
            <w:rStyle w:val="Hyperlink"/>
            <w:rFonts w:cs="Arial"/>
          </w:rPr>
          <w:t>Retained EU Law</w:t>
        </w:r>
      </w:hyperlink>
      <w:r w:rsidR="003001D5" w:rsidRPr="007822C6">
        <w:rPr>
          <w:rFonts w:cs="Arial"/>
        </w:rPr>
        <w:t xml:space="preserve"> bill (REUL)</w:t>
      </w:r>
      <w:r w:rsidR="003001D5">
        <w:t xml:space="preserve"> </w:t>
      </w:r>
      <w:r w:rsidR="00FB2C08">
        <w:t xml:space="preserve">and its </w:t>
      </w:r>
      <w:r w:rsidR="003001D5">
        <w:t>sunset clause</w:t>
      </w:r>
      <w:r w:rsidR="00FB2C08">
        <w:t>s</w:t>
      </w:r>
      <w:r w:rsidR="003001D5">
        <w:t xml:space="preserve"> run the risk of harming UK industry, its economy and its population.  </w:t>
      </w:r>
      <w:r w:rsidR="00FB2C08">
        <w:t>It</w:t>
      </w:r>
      <w:r w:rsidR="009730C1">
        <w:t xml:space="preserve"> </w:t>
      </w:r>
      <w:r>
        <w:t xml:space="preserve">builds on </w:t>
      </w:r>
      <w:r w:rsidR="00FB2C08">
        <w:t xml:space="preserve">the attached </w:t>
      </w:r>
      <w:r w:rsidR="009730C1">
        <w:t>paper</w:t>
      </w:r>
      <w:r w:rsidR="00FB2C08">
        <w:t>,</w:t>
      </w:r>
      <w:r w:rsidR="009730C1">
        <w:t xml:space="preserve"> ‘IET feedback on REUL’</w:t>
      </w:r>
      <w:r w:rsidR="00FB2C08">
        <w:t>,</w:t>
      </w:r>
      <w:r>
        <w:t xml:space="preserve"> which highlighted a range of </w:t>
      </w:r>
      <w:r w:rsidR="00FB2C08">
        <w:t xml:space="preserve">trade and safety </w:t>
      </w:r>
      <w:r w:rsidR="000C0CE0">
        <w:t>arguments</w:t>
      </w:r>
      <w:r w:rsidR="009730C1">
        <w:t xml:space="preserve"> </w:t>
      </w:r>
      <w:r>
        <w:t xml:space="preserve">from IET members across </w:t>
      </w:r>
      <w:r w:rsidR="009730C1">
        <w:t>e</w:t>
      </w:r>
      <w:r>
        <w:t>ngineering and technology sector</w:t>
      </w:r>
      <w:r w:rsidR="009730C1">
        <w:t>s</w:t>
      </w:r>
      <w:r>
        <w:t>.</w:t>
      </w:r>
    </w:p>
    <w:p w14:paraId="30D837B2" w14:textId="77777777" w:rsidR="00EE2BFB" w:rsidRDefault="00EE2BFB" w:rsidP="00B63CBB">
      <w:pPr>
        <w:spacing w:after="0"/>
      </w:pPr>
    </w:p>
    <w:p w14:paraId="639F4CD0" w14:textId="1C3E199B" w:rsidR="00FB2C08" w:rsidRDefault="00E21140" w:rsidP="00B63CBB">
      <w:pPr>
        <w:spacing w:after="0"/>
      </w:pPr>
      <w:r>
        <w:object w:dxaOrig="1175" w:dyaOrig="760" w14:anchorId="0BAA2B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7.5pt" o:ole="">
            <v:imagedata r:id="rId9" o:title=""/>
          </v:shape>
          <o:OLEObject Type="Embed" ProgID="AcroExch.Document.DC" ShapeID="_x0000_i1025" DrawAspect="Icon" ObjectID="_1738594834" r:id="rId10"/>
        </w:object>
      </w:r>
    </w:p>
    <w:p w14:paraId="52F567A0" w14:textId="77777777" w:rsidR="00FB2C08" w:rsidRDefault="00FB2C08" w:rsidP="00B63CBB">
      <w:pPr>
        <w:spacing w:after="0"/>
      </w:pPr>
    </w:p>
    <w:p w14:paraId="22AE9BA8" w14:textId="62225CF9" w:rsidR="00AA0D8A" w:rsidRDefault="00AA0D8A" w:rsidP="00B63CBB">
      <w:pPr>
        <w:spacing w:after="0"/>
      </w:pPr>
      <w:r>
        <w:t>Our recommendations from th</w:t>
      </w:r>
      <w:r w:rsidR="00FB2C08">
        <w:t>at</w:t>
      </w:r>
      <w:r>
        <w:t xml:space="preserve"> earlier briefing were:</w:t>
      </w:r>
    </w:p>
    <w:p w14:paraId="765BA070" w14:textId="77777777" w:rsidR="00B63CBB" w:rsidRDefault="00B63CBB" w:rsidP="00B63CBB">
      <w:pPr>
        <w:spacing w:after="0"/>
      </w:pPr>
    </w:p>
    <w:p w14:paraId="2BA43AD9" w14:textId="77777777" w:rsidR="00AA0D8A" w:rsidRPr="007822C6" w:rsidRDefault="00AA0D8A" w:rsidP="00B63CBB">
      <w:pPr>
        <w:pStyle w:val="ListParagraph"/>
        <w:numPr>
          <w:ilvl w:val="1"/>
          <w:numId w:val="10"/>
        </w:numPr>
        <w:tabs>
          <w:tab w:val="clear" w:pos="1440"/>
        </w:tabs>
        <w:spacing w:after="0"/>
        <w:ind w:left="709"/>
        <w:contextualSpacing w:val="0"/>
        <w:rPr>
          <w:rFonts w:eastAsia="Times New Roman" w:cs="Arial"/>
        </w:rPr>
      </w:pPr>
      <w:r w:rsidRPr="007822C6">
        <w:rPr>
          <w:rFonts w:eastAsia="Times New Roman" w:cs="Arial"/>
        </w:rPr>
        <w:t xml:space="preserve">That </w:t>
      </w:r>
      <w:r>
        <w:rPr>
          <w:rFonts w:eastAsia="Times New Roman" w:cs="Arial"/>
        </w:rPr>
        <w:t>retained</w:t>
      </w:r>
      <w:r w:rsidRPr="007822C6">
        <w:rPr>
          <w:rFonts w:eastAsia="Times New Roman" w:cs="Arial"/>
        </w:rPr>
        <w:t xml:space="preserve"> EU law is </w:t>
      </w:r>
      <w:r>
        <w:rPr>
          <w:rFonts w:eastAsia="Times New Roman" w:cs="Arial"/>
        </w:rPr>
        <w:t xml:space="preserve">not </w:t>
      </w:r>
      <w:r w:rsidRPr="007822C6">
        <w:rPr>
          <w:rFonts w:eastAsia="Times New Roman" w:cs="Arial"/>
        </w:rPr>
        <w:t>re</w:t>
      </w:r>
      <w:r>
        <w:rPr>
          <w:rFonts w:eastAsia="Times New Roman" w:cs="Arial"/>
        </w:rPr>
        <w:t>pealed</w:t>
      </w:r>
      <w:r w:rsidRPr="007822C6">
        <w:rPr>
          <w:rFonts w:eastAsia="Times New Roman" w:cs="Arial"/>
        </w:rPr>
        <w:t xml:space="preserve"> until there has been consultation and review by </w:t>
      </w:r>
      <w:r>
        <w:rPr>
          <w:rFonts w:eastAsia="Times New Roman" w:cs="Arial"/>
        </w:rPr>
        <w:t>technical specialists</w:t>
      </w:r>
      <w:r w:rsidRPr="007822C6">
        <w:rPr>
          <w:rFonts w:eastAsia="Times New Roman" w:cs="Arial"/>
        </w:rPr>
        <w:t xml:space="preserve"> to ensure that </w:t>
      </w:r>
      <w:r>
        <w:rPr>
          <w:rFonts w:eastAsia="Times New Roman" w:cs="Arial"/>
        </w:rPr>
        <w:t xml:space="preserve">any legislative changes are </w:t>
      </w:r>
      <w:r w:rsidRPr="007822C6">
        <w:rPr>
          <w:rFonts w:eastAsia="Times New Roman" w:cs="Arial"/>
        </w:rPr>
        <w:t>not detrimental to the UK and its interests</w:t>
      </w:r>
      <w:r>
        <w:rPr>
          <w:rFonts w:eastAsia="Times New Roman" w:cs="Arial"/>
        </w:rPr>
        <w:t>;</w:t>
      </w:r>
    </w:p>
    <w:p w14:paraId="5672541F" w14:textId="77777777" w:rsidR="00AA0D8A" w:rsidRPr="007822C6" w:rsidRDefault="00AA0D8A" w:rsidP="00B63CBB">
      <w:pPr>
        <w:pStyle w:val="ListParagraph"/>
        <w:numPr>
          <w:ilvl w:val="1"/>
          <w:numId w:val="10"/>
        </w:numPr>
        <w:tabs>
          <w:tab w:val="clear" w:pos="1440"/>
        </w:tabs>
        <w:spacing w:after="0"/>
        <w:ind w:left="709"/>
        <w:contextualSpacing w:val="0"/>
        <w:rPr>
          <w:rFonts w:eastAsia="Times New Roman" w:cs="Arial"/>
        </w:rPr>
      </w:pPr>
      <w:r w:rsidRPr="007822C6">
        <w:rPr>
          <w:rFonts w:eastAsia="Times New Roman" w:cs="Arial"/>
        </w:rPr>
        <w:t>That deadlines</w:t>
      </w:r>
      <w:r>
        <w:rPr>
          <w:rFonts w:eastAsia="Times New Roman" w:cs="Arial"/>
        </w:rPr>
        <w:t xml:space="preserve">, </w:t>
      </w:r>
      <w:r w:rsidRPr="007822C6">
        <w:rPr>
          <w:rFonts w:eastAsia="Times New Roman" w:cs="Arial"/>
        </w:rPr>
        <w:t>such as the sunset clause relating to 31 December 2023, are removed from REUL.</w:t>
      </w:r>
      <w:r>
        <w:rPr>
          <w:rFonts w:eastAsia="Times New Roman" w:cs="Arial"/>
        </w:rPr>
        <w:t xml:space="preserve">  Deadlines for any changes should be set after tailored, robust reviews of legislation have taken place;</w:t>
      </w:r>
    </w:p>
    <w:p w14:paraId="7B12196D" w14:textId="15690602" w:rsidR="00AA0D8A" w:rsidRPr="007822C6" w:rsidRDefault="00AA0D8A" w:rsidP="00B63CBB">
      <w:pPr>
        <w:pStyle w:val="ListParagraph"/>
        <w:numPr>
          <w:ilvl w:val="1"/>
          <w:numId w:val="10"/>
        </w:numPr>
        <w:tabs>
          <w:tab w:val="clear" w:pos="1440"/>
        </w:tabs>
        <w:spacing w:after="0"/>
        <w:ind w:left="709"/>
        <w:contextualSpacing w:val="0"/>
        <w:rPr>
          <w:rFonts w:eastAsia="Times New Roman" w:cs="Arial"/>
        </w:rPr>
      </w:pPr>
      <w:r w:rsidRPr="007822C6">
        <w:rPr>
          <w:rFonts w:eastAsia="Times New Roman" w:cs="Arial"/>
        </w:rPr>
        <w:t>That each law</w:t>
      </w:r>
      <w:r>
        <w:rPr>
          <w:rFonts w:eastAsia="Times New Roman" w:cs="Arial"/>
        </w:rPr>
        <w:t xml:space="preserve"> under consideration</w:t>
      </w:r>
      <w:r w:rsidRPr="007822C6">
        <w:rPr>
          <w:rFonts w:eastAsia="Times New Roman" w:cs="Arial"/>
        </w:rPr>
        <w:t xml:space="preserve"> is assessed on its own merits</w:t>
      </w:r>
      <w:r>
        <w:rPr>
          <w:rFonts w:eastAsia="Times New Roman" w:cs="Arial"/>
        </w:rPr>
        <w:t>,</w:t>
      </w:r>
      <w:r w:rsidRPr="007822C6">
        <w:rPr>
          <w:rFonts w:eastAsia="Times New Roman" w:cs="Arial"/>
        </w:rPr>
        <w:t xml:space="preserve"> and that there is no </w:t>
      </w:r>
      <w:r>
        <w:rPr>
          <w:rFonts w:eastAsia="Times New Roman" w:cs="Arial"/>
        </w:rPr>
        <w:t xml:space="preserve">wholesale </w:t>
      </w:r>
      <w:r w:rsidRPr="007822C6">
        <w:rPr>
          <w:rFonts w:eastAsia="Times New Roman" w:cs="Arial"/>
        </w:rPr>
        <w:t>removal of legislation</w:t>
      </w:r>
      <w:r w:rsidR="00E21140">
        <w:rPr>
          <w:rFonts w:eastAsia="Times New Roman" w:cs="Arial"/>
        </w:rPr>
        <w:t>.</w:t>
      </w:r>
    </w:p>
    <w:p w14:paraId="44DD896D" w14:textId="42D00A5D" w:rsidR="00AA0D8A" w:rsidRDefault="00AA0D8A" w:rsidP="00B63CBB">
      <w:pPr>
        <w:spacing w:after="0"/>
      </w:pPr>
    </w:p>
    <w:p w14:paraId="50EB784C" w14:textId="22695245" w:rsidR="00B63CBB" w:rsidRDefault="00B63CBB" w:rsidP="00B63CBB">
      <w:pPr>
        <w:spacing w:after="0"/>
      </w:pPr>
      <w:r>
        <w:t>Below</w:t>
      </w:r>
      <w:r w:rsidR="00CD06D6">
        <w:t xml:space="preserve"> </w:t>
      </w:r>
      <w:r w:rsidR="00FB2C08">
        <w:t xml:space="preserve">are </w:t>
      </w:r>
      <w:r w:rsidR="00CD06D6">
        <w:t>detail</w:t>
      </w:r>
      <w:r>
        <w:t>s o</w:t>
      </w:r>
      <w:r w:rsidR="00FB2C08">
        <w:t>f</w:t>
      </w:r>
      <w:r>
        <w:t xml:space="preserve"> some engineering</w:t>
      </w:r>
      <w:r w:rsidR="00FB2C08">
        <w:t>-related</w:t>
      </w:r>
      <w:r>
        <w:t xml:space="preserve"> </w:t>
      </w:r>
      <w:r w:rsidR="00E21140">
        <w:t>areas</w:t>
      </w:r>
      <w:r w:rsidR="00CD06D6">
        <w:t xml:space="preserve"> that may be </w:t>
      </w:r>
      <w:r w:rsidR="00AA0D8A">
        <w:t xml:space="preserve">impacted by REUL and the potential implications of </w:t>
      </w:r>
      <w:r w:rsidR="00FB2C08">
        <w:t>such</w:t>
      </w:r>
      <w:r w:rsidR="00AA0D8A">
        <w:t xml:space="preserve"> changes.</w:t>
      </w:r>
      <w:r w:rsidR="00FB2C08">
        <w:t xml:space="preserve">  </w:t>
      </w:r>
      <w:r w:rsidR="000C0CE0">
        <w:t>Given the scope of REUL, the details</w:t>
      </w:r>
      <w:r w:rsidR="00FB2C08">
        <w:t xml:space="preserve"> </w:t>
      </w:r>
      <w:r w:rsidR="00E21140">
        <w:t xml:space="preserve">are </w:t>
      </w:r>
      <w:r w:rsidR="00FB2C08">
        <w:t>illustrat</w:t>
      </w:r>
      <w:r w:rsidR="00E21140">
        <w:t>ive</w:t>
      </w:r>
      <w:r w:rsidR="00FB2C08">
        <w:t xml:space="preserve"> </w:t>
      </w:r>
      <w:r w:rsidR="00E21140">
        <w:t xml:space="preserve">of </w:t>
      </w:r>
      <w:r w:rsidR="00FB2C08">
        <w:t xml:space="preserve">potential problems rather than </w:t>
      </w:r>
      <w:r w:rsidR="000C0CE0">
        <w:t xml:space="preserve">attempting to </w:t>
      </w:r>
      <w:r w:rsidR="00FB2C08">
        <w:t>provid</w:t>
      </w:r>
      <w:r w:rsidR="000C0CE0">
        <w:t>e</w:t>
      </w:r>
      <w:r w:rsidR="00FB2C08">
        <w:t xml:space="preserve"> fully comprehensive </w:t>
      </w:r>
      <w:r w:rsidR="00E21140">
        <w:t>particulars</w:t>
      </w:r>
      <w:r w:rsidR="00FB2C08">
        <w:t>.</w:t>
      </w:r>
    </w:p>
    <w:p w14:paraId="524E7555" w14:textId="1FAEF644" w:rsidR="00B63CBB" w:rsidRDefault="00B63CBB" w:rsidP="00B63CBB">
      <w:pPr>
        <w:spacing w:after="0"/>
      </w:pPr>
    </w:p>
    <w:p w14:paraId="162A3FEF" w14:textId="11DC3485" w:rsidR="00EE2BFB" w:rsidRPr="00574201" w:rsidRDefault="00EE2BFB" w:rsidP="00B63CBB">
      <w:pPr>
        <w:spacing w:after="0"/>
        <w:rPr>
          <w:sz w:val="24"/>
          <w:szCs w:val="24"/>
          <w:u w:val="single"/>
        </w:rPr>
      </w:pPr>
      <w:r w:rsidRPr="00574201">
        <w:rPr>
          <w:b/>
          <w:bCs/>
          <w:sz w:val="24"/>
          <w:szCs w:val="24"/>
          <w:u w:val="single"/>
        </w:rPr>
        <w:t>Construction</w:t>
      </w:r>
    </w:p>
    <w:p w14:paraId="27D2D98F" w14:textId="77777777" w:rsidR="00574201" w:rsidRDefault="00574201" w:rsidP="00505CCF">
      <w:pPr>
        <w:spacing w:after="0"/>
        <w:rPr>
          <w:color w:val="252525"/>
          <w:u w:val="single"/>
          <w:lang w:eastAsia="en-GB"/>
        </w:rPr>
      </w:pPr>
    </w:p>
    <w:p w14:paraId="4EF32376" w14:textId="1B0D7400" w:rsidR="00505CCF" w:rsidRDefault="00DC2DDD" w:rsidP="00505CCF">
      <w:pPr>
        <w:spacing w:after="0"/>
      </w:pPr>
      <w:hyperlink r:id="rId11" w:history="1">
        <w:r w:rsidR="00AA0D8A" w:rsidRPr="00574201">
          <w:rPr>
            <w:rStyle w:val="Hyperlink"/>
            <w:lang w:eastAsia="en-GB"/>
          </w:rPr>
          <w:t>The Construction (Design and Management) Regulations 2015</w:t>
        </w:r>
        <w:r w:rsidR="00CF4A76" w:rsidRPr="00574201">
          <w:rPr>
            <w:rStyle w:val="Hyperlink"/>
            <w:lang w:eastAsia="en-GB"/>
          </w:rPr>
          <w:t>/51</w:t>
        </w:r>
      </w:hyperlink>
      <w:r w:rsidR="00574201">
        <w:rPr>
          <w:color w:val="252525"/>
          <w:lang w:eastAsia="en-GB"/>
        </w:rPr>
        <w:t xml:space="preserve"> (</w:t>
      </w:r>
      <w:r w:rsidR="00AA0D8A">
        <w:rPr>
          <w:color w:val="252525"/>
          <w:lang w:eastAsia="en-GB"/>
        </w:rPr>
        <w:t>CDM</w:t>
      </w:r>
      <w:r w:rsidR="00574201">
        <w:rPr>
          <w:color w:val="252525"/>
          <w:lang w:eastAsia="en-GB"/>
        </w:rPr>
        <w:t>)</w:t>
      </w:r>
      <w:r w:rsidR="00AA0D8A">
        <w:rPr>
          <w:color w:val="252525"/>
          <w:lang w:eastAsia="en-GB"/>
        </w:rPr>
        <w:t xml:space="preserve"> </w:t>
      </w:r>
      <w:r w:rsidR="00DB1DEB">
        <w:rPr>
          <w:color w:val="252525"/>
          <w:lang w:eastAsia="en-GB"/>
        </w:rPr>
        <w:t xml:space="preserve">is </w:t>
      </w:r>
      <w:r w:rsidR="000C0CE0">
        <w:rPr>
          <w:color w:val="252525"/>
          <w:lang w:eastAsia="en-GB"/>
        </w:rPr>
        <w:t xml:space="preserve">a </w:t>
      </w:r>
      <w:r w:rsidR="00DB1DEB">
        <w:rPr>
          <w:color w:val="252525"/>
          <w:lang w:eastAsia="en-GB"/>
        </w:rPr>
        <w:t xml:space="preserve">wide-ranging </w:t>
      </w:r>
      <w:r w:rsidR="00574201">
        <w:rPr>
          <w:color w:val="252525"/>
          <w:lang w:eastAsia="en-GB"/>
        </w:rPr>
        <w:t xml:space="preserve">piece of </w:t>
      </w:r>
      <w:r w:rsidR="00DB1DEB">
        <w:rPr>
          <w:color w:val="252525"/>
          <w:lang w:eastAsia="en-GB"/>
        </w:rPr>
        <w:t xml:space="preserve">legislation that </w:t>
      </w:r>
      <w:r w:rsidR="00AA0D8A">
        <w:rPr>
          <w:color w:val="252525"/>
          <w:lang w:eastAsia="en-GB"/>
        </w:rPr>
        <w:t xml:space="preserve">underpins modern safety in </w:t>
      </w:r>
      <w:r w:rsidR="004A6EC4">
        <w:rPr>
          <w:color w:val="252525"/>
          <w:lang w:eastAsia="en-GB"/>
        </w:rPr>
        <w:t xml:space="preserve">both small and large </w:t>
      </w:r>
      <w:r w:rsidR="00AA0D8A">
        <w:rPr>
          <w:color w:val="252525"/>
          <w:lang w:eastAsia="en-GB"/>
        </w:rPr>
        <w:t>construction</w:t>
      </w:r>
      <w:r w:rsidR="004A6EC4">
        <w:rPr>
          <w:color w:val="252525"/>
          <w:lang w:eastAsia="en-GB"/>
        </w:rPr>
        <w:t xml:space="preserve"> projects</w:t>
      </w:r>
      <w:r w:rsidR="00DB1DEB">
        <w:rPr>
          <w:color w:val="252525"/>
          <w:lang w:eastAsia="en-GB"/>
        </w:rPr>
        <w:t xml:space="preserve">.  </w:t>
      </w:r>
      <w:r w:rsidR="004A6EC4">
        <w:rPr>
          <w:color w:val="252525"/>
          <w:lang w:eastAsia="en-GB"/>
        </w:rPr>
        <w:t xml:space="preserve">It </w:t>
      </w:r>
      <w:r w:rsidR="004A6EC4">
        <w:t xml:space="preserve">has helped drive forward significant changes in the management of workplace health and safety </w:t>
      </w:r>
      <w:r w:rsidR="000C0CE0">
        <w:t xml:space="preserve">in the </w:t>
      </w:r>
      <w:r w:rsidR="004A6EC4">
        <w:t>built environment.</w:t>
      </w:r>
      <w:r w:rsidR="00FB2C08">
        <w:t xml:space="preserve">  </w:t>
      </w:r>
      <w:r w:rsidR="00505CCF">
        <w:rPr>
          <w:color w:val="252525"/>
          <w:lang w:eastAsia="en-GB"/>
        </w:rPr>
        <w:t>CDM i</w:t>
      </w:r>
      <w:r w:rsidR="00505CCF">
        <w:t xml:space="preserve">s closely linked to the </w:t>
      </w:r>
      <w:hyperlink r:id="rId12" w:history="1">
        <w:r w:rsidR="00505CCF" w:rsidRPr="00574201">
          <w:rPr>
            <w:rStyle w:val="Hyperlink"/>
            <w:lang w:eastAsia="en-GB"/>
          </w:rPr>
          <w:t>Building Safety Act 2022/30</w:t>
        </w:r>
      </w:hyperlink>
      <w:r w:rsidR="00574201">
        <w:rPr>
          <w:color w:val="252525"/>
          <w:lang w:eastAsia="en-GB"/>
        </w:rPr>
        <w:t xml:space="preserve"> (BSA), </w:t>
      </w:r>
      <w:r w:rsidR="00505CCF">
        <w:rPr>
          <w:color w:val="252525"/>
          <w:lang w:eastAsia="en-GB"/>
        </w:rPr>
        <w:t>which</w:t>
      </w:r>
      <w:r w:rsidR="00FB2C08">
        <w:rPr>
          <w:color w:val="252525"/>
          <w:lang w:eastAsia="en-GB"/>
        </w:rPr>
        <w:t>,</w:t>
      </w:r>
      <w:r w:rsidR="00505CCF">
        <w:rPr>
          <w:color w:val="252525"/>
          <w:lang w:eastAsia="en-GB"/>
        </w:rPr>
        <w:t xml:space="preserve"> </w:t>
      </w:r>
      <w:r w:rsidR="00FB2C08">
        <w:rPr>
          <w:color w:val="252525"/>
          <w:lang w:eastAsia="en-GB"/>
        </w:rPr>
        <w:t>a</w:t>
      </w:r>
      <w:r w:rsidR="00505CCF">
        <w:rPr>
          <w:color w:val="252525"/>
          <w:lang w:eastAsia="en-GB"/>
        </w:rPr>
        <w:t>s a UK Public General Act</w:t>
      </w:r>
      <w:r w:rsidR="00FB2C08">
        <w:rPr>
          <w:color w:val="252525"/>
          <w:lang w:eastAsia="en-GB"/>
        </w:rPr>
        <w:t>,</w:t>
      </w:r>
      <w:r w:rsidR="00505CCF">
        <w:rPr>
          <w:color w:val="252525"/>
          <w:lang w:eastAsia="en-GB"/>
        </w:rPr>
        <w:t xml:space="preserve"> will not be reviewed</w:t>
      </w:r>
      <w:r w:rsidR="00FB2C08">
        <w:rPr>
          <w:color w:val="252525"/>
          <w:lang w:eastAsia="en-GB"/>
        </w:rPr>
        <w:t>, per se,</w:t>
      </w:r>
      <w:r w:rsidR="00505CCF">
        <w:rPr>
          <w:color w:val="252525"/>
          <w:lang w:eastAsia="en-GB"/>
        </w:rPr>
        <w:t xml:space="preserve"> under REUL.</w:t>
      </w:r>
    </w:p>
    <w:p w14:paraId="786ED520" w14:textId="4D8E8FD5" w:rsidR="00505CCF" w:rsidRDefault="00505CCF" w:rsidP="00B63CBB">
      <w:pPr>
        <w:spacing w:after="0"/>
      </w:pPr>
    </w:p>
    <w:p w14:paraId="057B3314" w14:textId="77777777" w:rsidR="00574201" w:rsidRPr="00D67706" w:rsidRDefault="00574201" w:rsidP="00574201">
      <w:pPr>
        <w:spacing w:after="0"/>
      </w:pPr>
      <w:r>
        <w:t>Dame Judith Hackitt, i</w:t>
      </w:r>
      <w:r w:rsidRPr="00D67706">
        <w:t>n her 2018</w:t>
      </w:r>
      <w:r>
        <w:rPr>
          <w:color w:val="FF0000"/>
        </w:rPr>
        <w:t xml:space="preserve"> </w:t>
      </w:r>
      <w:hyperlink r:id="rId13" w:history="1">
        <w:r w:rsidRPr="00067F02">
          <w:rPr>
            <w:rStyle w:val="Hyperlink"/>
          </w:rPr>
          <w:t>Building a Safer Future Final Report</w:t>
        </w:r>
      </w:hyperlink>
      <w:r w:rsidRPr="00D67706">
        <w:t>, highlighted that inadequate regulatory oversight was one of four fundamental reasons why the legal system covering high-rise and complex buildings had failed.  It is expected the publication of the Grenfell Tower Inquiry Phase 2 Report later this year will reinforce that point.  We are therefore concerned that any construction-related regulation should be affected, directly or indirectly, by REUL.  We believe any dilution of these regulations will have a profound and very detrimental effect on the safety of construction workers who build and refurbish properties, and the users of such buildings during occupation.</w:t>
      </w:r>
    </w:p>
    <w:p w14:paraId="5BDB41E1" w14:textId="77777777" w:rsidR="00574201" w:rsidRDefault="00574201" w:rsidP="00B63CBB">
      <w:pPr>
        <w:spacing w:after="0"/>
      </w:pPr>
    </w:p>
    <w:p w14:paraId="1628D9B5" w14:textId="7EC929E1" w:rsidR="00FB2C08" w:rsidRDefault="00505CCF" w:rsidP="00B63CBB">
      <w:pPr>
        <w:spacing w:after="0"/>
        <w:rPr>
          <w:color w:val="252525"/>
          <w:lang w:eastAsia="en-GB"/>
        </w:rPr>
      </w:pPr>
      <w:r>
        <w:t xml:space="preserve">CDM is also closely connected to much other construction legislation such as </w:t>
      </w:r>
      <w:hyperlink r:id="rId14" w:history="1">
        <w:r w:rsidRPr="00F27436">
          <w:rPr>
            <w:rStyle w:val="Hyperlink"/>
            <w:lang w:eastAsia="en-GB"/>
          </w:rPr>
          <w:t>The Control of Asbestos Regulations 2012/632</w:t>
        </w:r>
      </w:hyperlink>
      <w:r w:rsidRPr="00F27436">
        <w:rPr>
          <w:color w:val="252525"/>
          <w:lang w:eastAsia="en-GB"/>
        </w:rPr>
        <w:t xml:space="preserve"> and the </w:t>
      </w:r>
      <w:hyperlink r:id="rId15" w:history="1">
        <w:r w:rsidRPr="00F27436">
          <w:rPr>
            <w:rStyle w:val="Hyperlink"/>
            <w:lang w:eastAsia="en-GB"/>
          </w:rPr>
          <w:t>Work at Height Regulations 2005/735</w:t>
        </w:r>
      </w:hyperlink>
      <w:r>
        <w:rPr>
          <w:color w:val="252525"/>
          <w:lang w:eastAsia="en-GB"/>
        </w:rPr>
        <w:t xml:space="preserve">.  All three regulations come </w:t>
      </w:r>
      <w:r>
        <w:t xml:space="preserve">under UK Statutory Instruments.  However, the latter two regulations are also </w:t>
      </w:r>
      <w:r w:rsidR="00067F02">
        <w:t>linked to</w:t>
      </w:r>
      <w:r>
        <w:t xml:space="preserve"> </w:t>
      </w:r>
      <w:r>
        <w:rPr>
          <w:color w:val="252525"/>
          <w:lang w:eastAsia="en-GB"/>
        </w:rPr>
        <w:t>EU regulations / Directives / Decisions.  If EU-related regulation is repealed under sunset clause</w:t>
      </w:r>
      <w:r w:rsidR="00FB2C08">
        <w:rPr>
          <w:color w:val="252525"/>
          <w:lang w:eastAsia="en-GB"/>
        </w:rPr>
        <w:t>s</w:t>
      </w:r>
      <w:r>
        <w:rPr>
          <w:color w:val="252525"/>
          <w:lang w:eastAsia="en-GB"/>
        </w:rPr>
        <w:t xml:space="preserve">, it could undermine the effective functioning of </w:t>
      </w:r>
      <w:r w:rsidR="000B653A">
        <w:rPr>
          <w:color w:val="252525"/>
          <w:lang w:eastAsia="en-GB"/>
        </w:rPr>
        <w:t>primary legislation</w:t>
      </w:r>
      <w:r>
        <w:rPr>
          <w:color w:val="252525"/>
          <w:lang w:eastAsia="en-GB"/>
        </w:rPr>
        <w:t>.</w:t>
      </w:r>
    </w:p>
    <w:p w14:paraId="57744D9D" w14:textId="0D0AC746" w:rsidR="00FB2C08" w:rsidRDefault="00FB2C08" w:rsidP="00B63CBB">
      <w:pPr>
        <w:spacing w:after="0"/>
        <w:rPr>
          <w:color w:val="252525"/>
          <w:lang w:eastAsia="en-GB"/>
        </w:rPr>
      </w:pPr>
    </w:p>
    <w:p w14:paraId="718B838C" w14:textId="104277C4" w:rsidR="009156A9" w:rsidRDefault="009156A9" w:rsidP="00B63CBB">
      <w:pPr>
        <w:spacing w:after="0"/>
        <w:rPr>
          <w:color w:val="252525"/>
          <w:lang w:eastAsia="en-GB"/>
        </w:rPr>
      </w:pPr>
    </w:p>
    <w:p w14:paraId="60F94EE0" w14:textId="77777777" w:rsidR="009156A9" w:rsidRDefault="009156A9" w:rsidP="00B63CBB">
      <w:pPr>
        <w:spacing w:after="0"/>
        <w:rPr>
          <w:color w:val="252525"/>
          <w:lang w:eastAsia="en-GB"/>
        </w:rPr>
      </w:pPr>
    </w:p>
    <w:p w14:paraId="1A20B5EF" w14:textId="6F71201F" w:rsidR="00154DFF" w:rsidRDefault="000C0CE0" w:rsidP="00B63CBB">
      <w:pPr>
        <w:spacing w:after="0"/>
        <w:rPr>
          <w:color w:val="252525"/>
          <w:lang w:eastAsia="en-GB"/>
        </w:rPr>
      </w:pPr>
      <w:r>
        <w:rPr>
          <w:color w:val="252525"/>
          <w:lang w:eastAsia="en-GB"/>
        </w:rPr>
        <w:lastRenderedPageBreak/>
        <w:t>In the same vein, t</w:t>
      </w:r>
      <w:r w:rsidR="00154DFF">
        <w:rPr>
          <w:color w:val="252525"/>
          <w:lang w:eastAsia="en-GB"/>
        </w:rPr>
        <w:t xml:space="preserve">here’s a risk that </w:t>
      </w:r>
      <w:r w:rsidR="00505CCF">
        <w:rPr>
          <w:color w:val="252525"/>
          <w:lang w:eastAsia="en-GB"/>
        </w:rPr>
        <w:t>other construction legislation could be repealed</w:t>
      </w:r>
      <w:r w:rsidR="00067F02">
        <w:rPr>
          <w:color w:val="252525"/>
          <w:lang w:eastAsia="en-GB"/>
        </w:rPr>
        <w:t>, by choice or default,</w:t>
      </w:r>
      <w:r w:rsidR="00505CCF">
        <w:rPr>
          <w:color w:val="252525"/>
          <w:lang w:eastAsia="en-GB"/>
        </w:rPr>
        <w:t xml:space="preserve"> if originating from the EU</w:t>
      </w:r>
      <w:r w:rsidR="00067F02">
        <w:rPr>
          <w:color w:val="252525"/>
          <w:lang w:eastAsia="en-GB"/>
        </w:rPr>
        <w:t>.</w:t>
      </w:r>
      <w:r w:rsidR="00505CCF">
        <w:rPr>
          <w:color w:val="252525"/>
          <w:lang w:eastAsia="en-GB"/>
        </w:rPr>
        <w:t xml:space="preserve"> </w:t>
      </w:r>
      <w:r w:rsidR="00067F02">
        <w:rPr>
          <w:color w:val="252525"/>
          <w:lang w:eastAsia="en-GB"/>
        </w:rPr>
        <w:t xml:space="preserve"> This </w:t>
      </w:r>
      <w:r w:rsidR="00505CCF">
        <w:rPr>
          <w:color w:val="252525"/>
          <w:lang w:eastAsia="en-GB"/>
        </w:rPr>
        <w:t>will</w:t>
      </w:r>
      <w:r w:rsidR="00154DFF">
        <w:rPr>
          <w:color w:val="252525"/>
          <w:lang w:eastAsia="en-GB"/>
        </w:rPr>
        <w:t xml:space="preserve"> </w:t>
      </w:r>
      <w:r w:rsidR="000B653A">
        <w:rPr>
          <w:color w:val="252525"/>
          <w:lang w:eastAsia="en-GB"/>
        </w:rPr>
        <w:t>likewis</w:t>
      </w:r>
      <w:r w:rsidR="00067F02">
        <w:rPr>
          <w:color w:val="252525"/>
          <w:lang w:eastAsia="en-GB"/>
        </w:rPr>
        <w:t xml:space="preserve">e reduce the effectiveness and comprehensive nature of </w:t>
      </w:r>
      <w:r w:rsidR="00505CCF">
        <w:rPr>
          <w:color w:val="252525"/>
          <w:lang w:eastAsia="en-GB"/>
        </w:rPr>
        <w:t>the CDM and BSA regulations</w:t>
      </w:r>
      <w:r w:rsidR="00BB7F1F">
        <w:rPr>
          <w:color w:val="252525"/>
          <w:lang w:eastAsia="en-GB"/>
        </w:rPr>
        <w:t>.</w:t>
      </w:r>
      <w:r w:rsidR="005F5C55">
        <w:rPr>
          <w:color w:val="252525"/>
          <w:lang w:eastAsia="en-GB"/>
        </w:rPr>
        <w:t xml:space="preserve">  </w:t>
      </w:r>
      <w:r w:rsidR="005F5C55" w:rsidRPr="005F5C55">
        <w:rPr>
          <w:color w:val="252525"/>
          <w:lang w:eastAsia="en-GB"/>
        </w:rPr>
        <w:t>Even minor changes tend to impact many areas including up-skilling and retraining of personnel to enable the management and compliance of such changes.</w:t>
      </w:r>
    </w:p>
    <w:p w14:paraId="6CD9E39D" w14:textId="77777777" w:rsidR="00154DFF" w:rsidRDefault="00154DFF" w:rsidP="00B63CBB">
      <w:pPr>
        <w:spacing w:after="0"/>
        <w:rPr>
          <w:color w:val="252525"/>
          <w:lang w:eastAsia="en-GB"/>
        </w:rPr>
      </w:pPr>
    </w:p>
    <w:p w14:paraId="6635227D" w14:textId="42AEA0E1" w:rsidR="00AA0D8A" w:rsidRPr="00574201" w:rsidRDefault="00DC2DDD" w:rsidP="00B63CBB">
      <w:pPr>
        <w:spacing w:after="0"/>
        <w:rPr>
          <w:b/>
          <w:bCs/>
          <w:color w:val="252525"/>
          <w:sz w:val="24"/>
          <w:szCs w:val="24"/>
          <w:u w:val="single"/>
          <w:lang w:eastAsia="en-GB"/>
        </w:rPr>
      </w:pPr>
      <w:hyperlink r:id="rId16" w:anchor="introduction-general-product-safety-law" w:history="1">
        <w:r w:rsidR="0085719F" w:rsidRPr="00574201">
          <w:rPr>
            <w:rStyle w:val="Hyperlink"/>
            <w:b/>
            <w:bCs/>
            <w:sz w:val="24"/>
            <w:szCs w:val="24"/>
            <w:lang w:eastAsia="en-GB"/>
          </w:rPr>
          <w:t>Product</w:t>
        </w:r>
        <w:r w:rsidR="00AA2CE5" w:rsidRPr="00574201">
          <w:rPr>
            <w:rStyle w:val="Hyperlink"/>
            <w:b/>
            <w:bCs/>
            <w:sz w:val="24"/>
            <w:szCs w:val="24"/>
            <w:lang w:eastAsia="en-GB"/>
          </w:rPr>
          <w:t xml:space="preserve"> Safety</w:t>
        </w:r>
        <w:r w:rsidR="00C729A8" w:rsidRPr="00574201">
          <w:rPr>
            <w:rStyle w:val="Hyperlink"/>
            <w:b/>
            <w:bCs/>
            <w:sz w:val="24"/>
            <w:szCs w:val="24"/>
            <w:lang w:eastAsia="en-GB"/>
          </w:rPr>
          <w:t xml:space="preserve"> for Businesses</w:t>
        </w:r>
      </w:hyperlink>
    </w:p>
    <w:p w14:paraId="60EA9A13" w14:textId="77777777" w:rsidR="00574201" w:rsidRDefault="00574201" w:rsidP="00B63CBB">
      <w:pPr>
        <w:spacing w:after="0"/>
      </w:pPr>
    </w:p>
    <w:p w14:paraId="714D6705" w14:textId="2FA8D8CB" w:rsidR="006215EB" w:rsidRDefault="005F5C55" w:rsidP="00B63CBB">
      <w:pPr>
        <w:spacing w:after="0"/>
      </w:pPr>
      <w:r>
        <w:t xml:space="preserve">The UK has some of the safest </w:t>
      </w:r>
      <w:r w:rsidR="007C2331">
        <w:t xml:space="preserve">industrial and </w:t>
      </w:r>
      <w:r>
        <w:t xml:space="preserve">consumer products in the world.  </w:t>
      </w:r>
      <w:r w:rsidR="00550282">
        <w:t xml:space="preserve">Much </w:t>
      </w:r>
      <w:r>
        <w:t xml:space="preserve">of the relevant </w:t>
      </w:r>
      <w:r w:rsidR="00550282">
        <w:t xml:space="preserve">regulation originates from the EU.  Whilst </w:t>
      </w:r>
      <w:r w:rsidR="00C729A8">
        <w:t>each</w:t>
      </w:r>
      <w:r w:rsidR="00550282">
        <w:t xml:space="preserve"> </w:t>
      </w:r>
      <w:r w:rsidR="00C729A8">
        <w:t>of th</w:t>
      </w:r>
      <w:r w:rsidR="00BD2BBE">
        <w:t>e</w:t>
      </w:r>
      <w:r w:rsidR="00C729A8">
        <w:t xml:space="preserve"> </w:t>
      </w:r>
      <w:r w:rsidR="00BD2BBE">
        <w:t>legislation examples below</w:t>
      </w:r>
      <w:r w:rsidR="00550282">
        <w:t xml:space="preserve"> were set up via UK Statutory Instruments, they have significant connections with </w:t>
      </w:r>
      <w:r w:rsidR="00550282">
        <w:rPr>
          <w:color w:val="252525"/>
          <w:lang w:eastAsia="en-GB"/>
        </w:rPr>
        <w:t>EU regulations / Directives / Decisions</w:t>
      </w:r>
      <w:r w:rsidR="00550282">
        <w:t>:</w:t>
      </w:r>
    </w:p>
    <w:p w14:paraId="69F9179E" w14:textId="77777777" w:rsidR="006215EB" w:rsidRPr="00550282" w:rsidRDefault="006215EB" w:rsidP="00B63CBB">
      <w:pPr>
        <w:spacing w:after="0"/>
        <w:rPr>
          <w:rFonts w:cs="Arial"/>
        </w:rPr>
      </w:pPr>
    </w:p>
    <w:p w14:paraId="3EA792F2" w14:textId="2416D7FF" w:rsidR="006215EB" w:rsidRPr="00550282" w:rsidRDefault="00DC2DDD" w:rsidP="006215EB">
      <w:pPr>
        <w:pStyle w:val="ListParagraph"/>
        <w:numPr>
          <w:ilvl w:val="0"/>
          <w:numId w:val="8"/>
        </w:numPr>
        <w:spacing w:after="0"/>
        <w:contextualSpacing w:val="0"/>
        <w:rPr>
          <w:rFonts w:cs="Arial"/>
          <w:color w:val="1F497D"/>
        </w:rPr>
      </w:pPr>
      <w:hyperlink r:id="rId17" w:history="1">
        <w:r w:rsidR="006215EB" w:rsidRPr="00550282">
          <w:rPr>
            <w:rStyle w:val="Hyperlink"/>
            <w:rFonts w:cs="Arial"/>
          </w:rPr>
          <w:t>The Electromagnetic Compatibility Regulations 2016 / 1091</w:t>
        </w:r>
      </w:hyperlink>
    </w:p>
    <w:p w14:paraId="3DBD261B" w14:textId="4B9C614E" w:rsidR="006215EB" w:rsidRPr="00550282" w:rsidRDefault="00DC2DDD" w:rsidP="006215EB">
      <w:pPr>
        <w:pStyle w:val="ListParagraph"/>
        <w:numPr>
          <w:ilvl w:val="0"/>
          <w:numId w:val="8"/>
        </w:numPr>
        <w:spacing w:after="0"/>
        <w:contextualSpacing w:val="0"/>
        <w:rPr>
          <w:rFonts w:cs="Arial"/>
          <w:color w:val="1F497D"/>
        </w:rPr>
      </w:pPr>
      <w:hyperlink r:id="rId18" w:history="1">
        <w:r w:rsidR="006215EB" w:rsidRPr="00550282">
          <w:rPr>
            <w:rStyle w:val="Hyperlink"/>
            <w:rFonts w:cs="Arial"/>
          </w:rPr>
          <w:t>Electrical Equipment (Safety) Regulations 2016 / 1101</w:t>
        </w:r>
      </w:hyperlink>
    </w:p>
    <w:p w14:paraId="1C6BABA2" w14:textId="0AC092A0" w:rsidR="006215EB" w:rsidRPr="000C0CE0" w:rsidRDefault="000C0CE0" w:rsidP="006215EB">
      <w:pPr>
        <w:pStyle w:val="ListParagraph"/>
        <w:numPr>
          <w:ilvl w:val="0"/>
          <w:numId w:val="8"/>
        </w:numPr>
        <w:spacing w:after="0"/>
        <w:contextualSpacing w:val="0"/>
        <w:rPr>
          <w:rStyle w:val="Hyperlink"/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HYPERLINK "https://www.legislation.gov.uk/uksi/2017/1206/contents"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6215EB" w:rsidRPr="000C0CE0">
        <w:rPr>
          <w:rStyle w:val="Hyperlink"/>
          <w:rFonts w:cs="Arial"/>
        </w:rPr>
        <w:t>Radio Equipment Regulations 2017 / 1206</w:t>
      </w:r>
    </w:p>
    <w:p w14:paraId="69A426D0" w14:textId="03FB9F7D" w:rsidR="006215EB" w:rsidRPr="00550282" w:rsidRDefault="000C0CE0" w:rsidP="006215EB">
      <w:pPr>
        <w:pStyle w:val="ListParagraph"/>
        <w:numPr>
          <w:ilvl w:val="0"/>
          <w:numId w:val="8"/>
        </w:numPr>
        <w:spacing w:after="0"/>
        <w:contextualSpacing w:val="0"/>
        <w:rPr>
          <w:rFonts w:cs="Arial"/>
          <w:color w:val="1F497D"/>
        </w:rPr>
      </w:pPr>
      <w:r>
        <w:rPr>
          <w:rFonts w:cs="Arial"/>
        </w:rPr>
        <w:fldChar w:fldCharType="end"/>
      </w:r>
      <w:hyperlink r:id="rId19" w:history="1">
        <w:r w:rsidR="006215EB" w:rsidRPr="00550282">
          <w:rPr>
            <w:rStyle w:val="Hyperlink"/>
            <w:rFonts w:cs="Arial"/>
          </w:rPr>
          <w:t>The Supply of Machinery (Safety) Regulations 2008 / 1597</w:t>
        </w:r>
      </w:hyperlink>
    </w:p>
    <w:p w14:paraId="2A76C75B" w14:textId="4C00D2A7" w:rsidR="006215EB" w:rsidRPr="00550282" w:rsidRDefault="006215EB" w:rsidP="00B63CBB">
      <w:pPr>
        <w:spacing w:after="0"/>
        <w:rPr>
          <w:rFonts w:cs="Arial"/>
        </w:rPr>
      </w:pPr>
    </w:p>
    <w:p w14:paraId="09C123CF" w14:textId="004EED22" w:rsidR="004D7BD1" w:rsidRDefault="004D7BD1" w:rsidP="00B63CBB">
      <w:pPr>
        <w:spacing w:after="0"/>
      </w:pPr>
      <w:r>
        <w:t>REUL could mean that UK products hav</w:t>
      </w:r>
      <w:r w:rsidR="000B653A">
        <w:t>e</w:t>
      </w:r>
      <w:r>
        <w:t xml:space="preserve"> to comply</w:t>
      </w:r>
      <w:r w:rsidR="00550282">
        <w:t xml:space="preserve"> firstly</w:t>
      </w:r>
      <w:r>
        <w:t xml:space="preserve"> with future </w:t>
      </w:r>
      <w:hyperlink r:id="rId20" w:history="1">
        <w:r w:rsidRPr="00AA2CE5">
          <w:rPr>
            <w:rStyle w:val="Hyperlink"/>
          </w:rPr>
          <w:t>UK</w:t>
        </w:r>
        <w:r w:rsidR="00AA2CE5" w:rsidRPr="00AA2CE5">
          <w:rPr>
            <w:rStyle w:val="Hyperlink"/>
          </w:rPr>
          <w:t>CA</w:t>
        </w:r>
        <w:r w:rsidRPr="00AA2CE5">
          <w:rPr>
            <w:rStyle w:val="Hyperlink"/>
          </w:rPr>
          <w:t xml:space="preserve"> </w:t>
        </w:r>
      </w:hyperlink>
      <w:r>
        <w:t>national product standards, the</w:t>
      </w:r>
      <w:r w:rsidR="00550282">
        <w:t>n</w:t>
      </w:r>
      <w:r>
        <w:t xml:space="preserve"> with EN</w:t>
      </w:r>
      <w:r w:rsidR="000B653A">
        <w:t xml:space="preserve"> </w:t>
      </w:r>
      <w:r>
        <w:t>/</w:t>
      </w:r>
      <w:r w:rsidR="000B653A">
        <w:t xml:space="preserve"> </w:t>
      </w:r>
      <w:r>
        <w:t xml:space="preserve">ISO standards and potentially </w:t>
      </w:r>
      <w:r w:rsidR="00550282">
        <w:t xml:space="preserve">also with </w:t>
      </w:r>
      <w:r>
        <w:t xml:space="preserve">further national standards from EU countries.  </w:t>
      </w:r>
      <w:r w:rsidR="00831753">
        <w:t>Companies would face time</w:t>
      </w:r>
      <w:r w:rsidR="000B653A">
        <w:t>-</w:t>
      </w:r>
      <w:r>
        <w:t xml:space="preserve">consuming </w:t>
      </w:r>
      <w:r w:rsidR="00831753">
        <w:t xml:space="preserve">administration </w:t>
      </w:r>
      <w:r w:rsidR="000B653A">
        <w:t>with</w:t>
      </w:r>
      <w:r w:rsidR="00831753">
        <w:t xml:space="preserve"> additional </w:t>
      </w:r>
      <w:r>
        <w:t>cost</w:t>
      </w:r>
      <w:r w:rsidR="00831753">
        <w:t>s</w:t>
      </w:r>
      <w:r w:rsidR="00550282">
        <w:t xml:space="preserve">.  It </w:t>
      </w:r>
      <w:r>
        <w:t>would put UK manufacturers at a clear</w:t>
      </w:r>
      <w:r w:rsidR="00550282">
        <w:t>,</w:t>
      </w:r>
      <w:r>
        <w:t xml:space="preserve"> competitive disadvantage</w:t>
      </w:r>
      <w:r w:rsidR="006A0F10">
        <w:t xml:space="preserve"> and potentially lead to more hazardous environments</w:t>
      </w:r>
      <w:r>
        <w:t>.</w:t>
      </w:r>
    </w:p>
    <w:p w14:paraId="5635761A" w14:textId="6907713E" w:rsidR="004D7BD1" w:rsidRDefault="004D7BD1" w:rsidP="00B63CBB">
      <w:pPr>
        <w:spacing w:after="0"/>
      </w:pPr>
    </w:p>
    <w:p w14:paraId="3AFD0948" w14:textId="549E2CE0" w:rsidR="00FF06E2" w:rsidRDefault="00831753" w:rsidP="00B63CBB">
      <w:pPr>
        <w:spacing w:after="0"/>
        <w:rPr>
          <w:color w:val="252525"/>
          <w:lang w:eastAsia="en-GB"/>
        </w:rPr>
      </w:pPr>
      <w:r>
        <w:t xml:space="preserve">Medical Devices regulations are affected in the same way.  </w:t>
      </w:r>
      <w:r w:rsidR="000B653A">
        <w:t>Although</w:t>
      </w:r>
      <w:r>
        <w:t xml:space="preserve"> UK Statutory Instruments </w:t>
      </w:r>
      <w:r w:rsidR="000B653A">
        <w:t>underpin</w:t>
      </w:r>
      <w:r>
        <w:t xml:space="preserve"> much legislation, </w:t>
      </w:r>
      <w:r w:rsidR="00BD2BBE">
        <w:t xml:space="preserve">the removal of EU </w:t>
      </w:r>
      <w:r>
        <w:t xml:space="preserve">regulation would have serious </w:t>
      </w:r>
      <w:r w:rsidR="007E5C44">
        <w:t>consequences</w:t>
      </w:r>
      <w:r>
        <w:rPr>
          <w:color w:val="252525"/>
          <w:lang w:eastAsia="en-GB"/>
        </w:rPr>
        <w:t xml:space="preserve"> </w:t>
      </w:r>
      <w:r w:rsidR="000B653A">
        <w:rPr>
          <w:color w:val="252525"/>
          <w:lang w:eastAsia="en-GB"/>
        </w:rPr>
        <w:t>around compliance, regulatory approval</w:t>
      </w:r>
      <w:r w:rsidR="00C126AC">
        <w:rPr>
          <w:color w:val="252525"/>
          <w:lang w:eastAsia="en-GB"/>
        </w:rPr>
        <w:t xml:space="preserve"> and</w:t>
      </w:r>
      <w:r w:rsidR="000B653A">
        <w:rPr>
          <w:color w:val="252525"/>
          <w:lang w:eastAsia="en-GB"/>
        </w:rPr>
        <w:t xml:space="preserve"> certification.</w:t>
      </w:r>
    </w:p>
    <w:p w14:paraId="0BC6686E" w14:textId="4E421FD8" w:rsidR="00EB04A5" w:rsidRDefault="00EB04A5" w:rsidP="00B63CBB">
      <w:pPr>
        <w:spacing w:after="0"/>
        <w:rPr>
          <w:color w:val="252525"/>
          <w:lang w:eastAsia="en-GB"/>
        </w:rPr>
      </w:pPr>
    </w:p>
    <w:p w14:paraId="59CC76D0" w14:textId="0A2D21C0" w:rsidR="00596789" w:rsidRPr="00574201" w:rsidRDefault="00596789" w:rsidP="00B63CBB">
      <w:pPr>
        <w:spacing w:after="0"/>
        <w:rPr>
          <w:b/>
          <w:bCs/>
          <w:color w:val="252525"/>
          <w:sz w:val="24"/>
          <w:szCs w:val="24"/>
          <w:u w:val="single"/>
          <w:lang w:eastAsia="en-GB"/>
        </w:rPr>
      </w:pPr>
      <w:r w:rsidRPr="00574201">
        <w:rPr>
          <w:b/>
          <w:bCs/>
          <w:color w:val="252525"/>
          <w:sz w:val="24"/>
          <w:szCs w:val="24"/>
          <w:u w:val="single"/>
          <w:lang w:eastAsia="en-GB"/>
        </w:rPr>
        <w:t>Environmental Management</w:t>
      </w:r>
    </w:p>
    <w:p w14:paraId="76CED773" w14:textId="77777777" w:rsidR="00574201" w:rsidRDefault="00574201" w:rsidP="00596789">
      <w:pPr>
        <w:spacing w:after="0"/>
        <w:rPr>
          <w:rFonts w:cs="Arial"/>
        </w:rPr>
      </w:pPr>
    </w:p>
    <w:p w14:paraId="21706E7E" w14:textId="2888EA4A" w:rsidR="00596789" w:rsidRDefault="00C126AC" w:rsidP="00596789">
      <w:pPr>
        <w:spacing w:after="0"/>
        <w:rPr>
          <w:rFonts w:cs="Arial"/>
        </w:rPr>
      </w:pPr>
      <w:r>
        <w:rPr>
          <w:rFonts w:cs="Arial"/>
        </w:rPr>
        <w:t xml:space="preserve">This is </w:t>
      </w:r>
      <w:r w:rsidR="00596789" w:rsidRPr="00596789">
        <w:rPr>
          <w:rFonts w:cs="Arial"/>
        </w:rPr>
        <w:t xml:space="preserve">another </w:t>
      </w:r>
      <w:r>
        <w:rPr>
          <w:rFonts w:cs="Arial"/>
        </w:rPr>
        <w:t xml:space="preserve">connected </w:t>
      </w:r>
      <w:r w:rsidR="00596789" w:rsidRPr="00596789">
        <w:rPr>
          <w:rFonts w:cs="Arial"/>
        </w:rPr>
        <w:t>area of dense legislation</w:t>
      </w:r>
      <w:r w:rsidR="00596789">
        <w:rPr>
          <w:rFonts w:cs="Arial"/>
        </w:rPr>
        <w:t xml:space="preserve"> that is</w:t>
      </w:r>
      <w:r w:rsidR="00596789" w:rsidRPr="00596789">
        <w:rPr>
          <w:rFonts w:cs="Arial"/>
        </w:rPr>
        <w:t xml:space="preserve"> heavily derived from EU legislation. Without an appropriate leg</w:t>
      </w:r>
      <w:r>
        <w:rPr>
          <w:rFonts w:cs="Arial"/>
        </w:rPr>
        <w:t xml:space="preserve">al </w:t>
      </w:r>
      <w:r w:rsidR="00596789" w:rsidRPr="00596789">
        <w:rPr>
          <w:rFonts w:cs="Arial"/>
        </w:rPr>
        <w:t>framework, the inability to manage and mitigate the environmental impacts of products c</w:t>
      </w:r>
      <w:r>
        <w:rPr>
          <w:rFonts w:cs="Arial"/>
        </w:rPr>
        <w:t>ould</w:t>
      </w:r>
      <w:r w:rsidR="00596789" w:rsidRPr="00596789">
        <w:rPr>
          <w:rFonts w:cs="Arial"/>
        </w:rPr>
        <w:t xml:space="preserve"> result in second order effects on human health. </w:t>
      </w:r>
      <w:r w:rsidR="00596789">
        <w:rPr>
          <w:rFonts w:cs="Arial"/>
        </w:rPr>
        <w:t xml:space="preserve"> </w:t>
      </w:r>
      <w:r w:rsidR="00596789" w:rsidRPr="00596789">
        <w:rPr>
          <w:rFonts w:cs="Arial"/>
        </w:rPr>
        <w:t xml:space="preserve">If organisations </w:t>
      </w:r>
      <w:r>
        <w:rPr>
          <w:rFonts w:cs="Arial"/>
        </w:rPr>
        <w:t>we</w:t>
      </w:r>
      <w:r w:rsidR="00596789" w:rsidRPr="00596789">
        <w:rPr>
          <w:rFonts w:cs="Arial"/>
        </w:rPr>
        <w:t xml:space="preserve">re allowed to contaminate land, water and air, </w:t>
      </w:r>
      <w:r>
        <w:rPr>
          <w:rFonts w:cs="Arial"/>
        </w:rPr>
        <w:t xml:space="preserve">it could </w:t>
      </w:r>
      <w:r w:rsidR="00AC1F31">
        <w:rPr>
          <w:rFonts w:cs="Arial"/>
        </w:rPr>
        <w:t xml:space="preserve">lead to </w:t>
      </w:r>
      <w:r w:rsidR="00596789" w:rsidRPr="00596789">
        <w:rPr>
          <w:rFonts w:cs="Arial"/>
        </w:rPr>
        <w:t xml:space="preserve">health problems for neighbouring communities </w:t>
      </w:r>
      <w:r>
        <w:rPr>
          <w:rFonts w:cs="Arial"/>
        </w:rPr>
        <w:t>i.e</w:t>
      </w:r>
      <w:r w:rsidR="00596789" w:rsidRPr="00596789">
        <w:rPr>
          <w:rFonts w:cs="Arial"/>
        </w:rPr>
        <w:t>. those that rely on clean water for drinking, agriculture, fishing,</w:t>
      </w:r>
      <w:r>
        <w:rPr>
          <w:rFonts w:cs="Arial"/>
        </w:rPr>
        <w:t xml:space="preserve"> and</w:t>
      </w:r>
      <w:r w:rsidR="00596789" w:rsidRPr="00596789">
        <w:rPr>
          <w:rFonts w:cs="Arial"/>
        </w:rPr>
        <w:t xml:space="preserve"> manufacture etc. In addition, some recent coroner reports have determined </w:t>
      </w:r>
      <w:r>
        <w:rPr>
          <w:rFonts w:cs="Arial"/>
        </w:rPr>
        <w:t xml:space="preserve">that the </w:t>
      </w:r>
      <w:r w:rsidR="00596789" w:rsidRPr="00596789">
        <w:rPr>
          <w:rFonts w:cs="Arial"/>
        </w:rPr>
        <w:t>cause of death of some members of society can be attributed to breathing heavily polluted air.</w:t>
      </w:r>
    </w:p>
    <w:p w14:paraId="0061914C" w14:textId="77777777" w:rsidR="00596789" w:rsidRPr="00596789" w:rsidRDefault="00596789" w:rsidP="00596789">
      <w:pPr>
        <w:spacing w:after="0"/>
        <w:rPr>
          <w:rFonts w:cs="Arial"/>
        </w:rPr>
      </w:pPr>
    </w:p>
    <w:p w14:paraId="714BA2ED" w14:textId="04B62AAE" w:rsidR="00596789" w:rsidRDefault="00C126AC" w:rsidP="00596789">
      <w:pPr>
        <w:spacing w:after="0"/>
        <w:rPr>
          <w:rFonts w:cs="Arial"/>
        </w:rPr>
      </w:pPr>
      <w:r>
        <w:rPr>
          <w:rFonts w:cs="Arial"/>
        </w:rPr>
        <w:t>T</w:t>
      </w:r>
      <w:r w:rsidR="00596789" w:rsidRPr="00596789">
        <w:rPr>
          <w:rFonts w:cs="Arial"/>
        </w:rPr>
        <w:t>opics of environmental legislation, which should be assessed to understand the implications o</w:t>
      </w:r>
      <w:r w:rsidR="00596789">
        <w:rPr>
          <w:rFonts w:cs="Arial"/>
        </w:rPr>
        <w:t>f</w:t>
      </w:r>
      <w:r w:rsidR="00596789" w:rsidRPr="00596789">
        <w:rPr>
          <w:rFonts w:cs="Arial"/>
        </w:rPr>
        <w:t xml:space="preserve"> REUL, include:</w:t>
      </w:r>
    </w:p>
    <w:p w14:paraId="07F9A7A8" w14:textId="77777777" w:rsidR="00596789" w:rsidRPr="00596789" w:rsidRDefault="00596789" w:rsidP="00596789">
      <w:pPr>
        <w:spacing w:after="0"/>
        <w:rPr>
          <w:rFonts w:cs="Arial"/>
        </w:rPr>
      </w:pPr>
    </w:p>
    <w:p w14:paraId="7DB63F0D" w14:textId="77777777" w:rsidR="00596789" w:rsidRPr="00596789" w:rsidRDefault="00596789" w:rsidP="00596789">
      <w:pPr>
        <w:pStyle w:val="ListParagraph"/>
        <w:numPr>
          <w:ilvl w:val="0"/>
          <w:numId w:val="11"/>
        </w:numPr>
        <w:spacing w:after="0"/>
        <w:rPr>
          <w:rFonts w:cs="Arial"/>
        </w:rPr>
      </w:pPr>
      <w:r w:rsidRPr="00596789">
        <w:rPr>
          <w:rFonts w:cs="Arial"/>
        </w:rPr>
        <w:t>Energy efficient products;</w:t>
      </w:r>
    </w:p>
    <w:p w14:paraId="539DD7B9" w14:textId="77777777" w:rsidR="00596789" w:rsidRPr="00596789" w:rsidRDefault="00596789" w:rsidP="00596789">
      <w:pPr>
        <w:pStyle w:val="ListParagraph"/>
        <w:numPr>
          <w:ilvl w:val="0"/>
          <w:numId w:val="11"/>
        </w:numPr>
        <w:spacing w:after="0"/>
        <w:rPr>
          <w:rFonts w:cs="Arial"/>
        </w:rPr>
      </w:pPr>
      <w:r w:rsidRPr="00596789">
        <w:rPr>
          <w:rFonts w:cs="Arial"/>
        </w:rPr>
        <w:t>Hazardous Materials e.g. (PCBs, F-Gases, Ozone Depleting Substances, Radioactive substances, Ionising Radiation, COSHH, Volatile Organic Compounds, Persistent Organic Compounds);</w:t>
      </w:r>
    </w:p>
    <w:p w14:paraId="6969B3BD" w14:textId="77777777" w:rsidR="00596789" w:rsidRPr="00596789" w:rsidRDefault="00596789" w:rsidP="00596789">
      <w:pPr>
        <w:pStyle w:val="ListParagraph"/>
        <w:numPr>
          <w:ilvl w:val="0"/>
          <w:numId w:val="11"/>
        </w:numPr>
        <w:spacing w:after="0"/>
        <w:rPr>
          <w:rFonts w:cs="Arial"/>
        </w:rPr>
      </w:pPr>
      <w:r w:rsidRPr="00596789">
        <w:rPr>
          <w:rFonts w:cs="Arial"/>
        </w:rPr>
        <w:t>The use of REACH materials</w:t>
      </w:r>
      <w:r>
        <w:rPr>
          <w:rFonts w:cs="Arial"/>
        </w:rPr>
        <w:t xml:space="preserve"> (see below)</w:t>
      </w:r>
      <w:r w:rsidRPr="00596789">
        <w:rPr>
          <w:rFonts w:cs="Arial"/>
        </w:rPr>
        <w:t>;</w:t>
      </w:r>
    </w:p>
    <w:p w14:paraId="17214A35" w14:textId="77777777" w:rsidR="00596789" w:rsidRPr="00596789" w:rsidRDefault="00596789" w:rsidP="00596789">
      <w:pPr>
        <w:pStyle w:val="ListParagraph"/>
        <w:numPr>
          <w:ilvl w:val="0"/>
          <w:numId w:val="11"/>
        </w:numPr>
        <w:spacing w:after="0"/>
        <w:rPr>
          <w:rFonts w:cs="Arial"/>
        </w:rPr>
      </w:pPr>
      <w:r w:rsidRPr="00596789">
        <w:rPr>
          <w:rFonts w:cs="Arial"/>
        </w:rPr>
        <w:t>The use of ROHS materials;</w:t>
      </w:r>
    </w:p>
    <w:p w14:paraId="73287FFC" w14:textId="5B900636" w:rsidR="00596789" w:rsidRPr="00596789" w:rsidRDefault="00596789" w:rsidP="00596789">
      <w:pPr>
        <w:pStyle w:val="ListParagraph"/>
        <w:numPr>
          <w:ilvl w:val="0"/>
          <w:numId w:val="11"/>
        </w:numPr>
        <w:spacing w:after="0"/>
        <w:rPr>
          <w:rFonts w:cs="Arial"/>
        </w:rPr>
      </w:pPr>
      <w:r w:rsidRPr="00596789">
        <w:rPr>
          <w:rFonts w:cs="Arial"/>
        </w:rPr>
        <w:t>Waste management, including Waste Electrical and Electronic Equipment (WEEE)</w:t>
      </w:r>
      <w:r w:rsidR="00C126AC">
        <w:rPr>
          <w:rFonts w:cs="Arial"/>
        </w:rPr>
        <w:t xml:space="preserve"> </w:t>
      </w:r>
      <w:r w:rsidRPr="00596789">
        <w:rPr>
          <w:rFonts w:cs="Arial"/>
        </w:rPr>
        <w:t>/ Critical Raw Materials recycling and waste water;</w:t>
      </w:r>
    </w:p>
    <w:p w14:paraId="73C2D13E" w14:textId="77777777" w:rsidR="00596789" w:rsidRPr="00596789" w:rsidRDefault="00596789" w:rsidP="00596789">
      <w:pPr>
        <w:pStyle w:val="ListParagraph"/>
        <w:numPr>
          <w:ilvl w:val="0"/>
          <w:numId w:val="11"/>
        </w:numPr>
        <w:spacing w:after="0"/>
        <w:rPr>
          <w:rFonts w:cs="Arial"/>
        </w:rPr>
      </w:pPr>
      <w:r w:rsidRPr="00596789">
        <w:rPr>
          <w:rFonts w:cs="Arial"/>
        </w:rPr>
        <w:t>Water demands of manufacturers and end users;</w:t>
      </w:r>
    </w:p>
    <w:p w14:paraId="13E22A8B" w14:textId="77777777" w:rsidR="00596789" w:rsidRPr="00596789" w:rsidRDefault="00596789" w:rsidP="00596789">
      <w:pPr>
        <w:pStyle w:val="ListParagraph"/>
        <w:numPr>
          <w:ilvl w:val="0"/>
          <w:numId w:val="11"/>
        </w:numPr>
        <w:spacing w:after="0"/>
        <w:rPr>
          <w:rFonts w:cs="Arial"/>
        </w:rPr>
      </w:pPr>
      <w:r w:rsidRPr="00596789">
        <w:rPr>
          <w:rFonts w:cs="Arial"/>
        </w:rPr>
        <w:t>Nuisances</w:t>
      </w:r>
      <w:r>
        <w:rPr>
          <w:rFonts w:cs="Arial"/>
        </w:rPr>
        <w:t>;</w:t>
      </w:r>
    </w:p>
    <w:p w14:paraId="6686C314" w14:textId="77777777" w:rsidR="00596789" w:rsidRPr="00596789" w:rsidRDefault="00596789" w:rsidP="00596789">
      <w:pPr>
        <w:pStyle w:val="ListParagraph"/>
        <w:numPr>
          <w:ilvl w:val="0"/>
          <w:numId w:val="11"/>
        </w:numPr>
        <w:spacing w:after="0"/>
        <w:rPr>
          <w:rFonts w:cs="Arial"/>
        </w:rPr>
      </w:pPr>
      <w:r w:rsidRPr="00596789">
        <w:rPr>
          <w:rFonts w:cs="Arial"/>
        </w:rPr>
        <w:t>Air, Land &amp; Water quality levels;</w:t>
      </w:r>
    </w:p>
    <w:p w14:paraId="5AF6B307" w14:textId="77777777" w:rsidR="00596789" w:rsidRPr="00596789" w:rsidRDefault="00596789" w:rsidP="00596789">
      <w:pPr>
        <w:pStyle w:val="ListParagraph"/>
        <w:numPr>
          <w:ilvl w:val="0"/>
          <w:numId w:val="11"/>
        </w:numPr>
        <w:spacing w:after="0"/>
        <w:rPr>
          <w:rFonts w:cs="Arial"/>
        </w:rPr>
      </w:pPr>
      <w:r w:rsidRPr="00596789">
        <w:rPr>
          <w:rFonts w:cs="Arial"/>
        </w:rPr>
        <w:t>CO2 footprints.</w:t>
      </w:r>
    </w:p>
    <w:p w14:paraId="129F9FFA" w14:textId="276514D3" w:rsidR="00EB04A5" w:rsidRPr="00574201" w:rsidRDefault="00DC2DDD" w:rsidP="00B63CBB">
      <w:pPr>
        <w:spacing w:after="0"/>
        <w:rPr>
          <w:rStyle w:val="Emphasis"/>
          <w:rFonts w:cs="Arial"/>
          <w:b/>
          <w:bCs/>
          <w:i w:val="0"/>
          <w:iCs w:val="0"/>
          <w:sz w:val="24"/>
          <w:szCs w:val="24"/>
          <w:u w:val="single"/>
        </w:rPr>
      </w:pPr>
      <w:hyperlink r:id="rId21" w:history="1">
        <w:r w:rsidR="004D7BD1" w:rsidRPr="00574201">
          <w:rPr>
            <w:rStyle w:val="Hyperlink"/>
            <w:rFonts w:cs="Arial"/>
            <w:b/>
            <w:bCs/>
            <w:sz w:val="24"/>
            <w:szCs w:val="24"/>
          </w:rPr>
          <w:t>UK Reach</w:t>
        </w:r>
      </w:hyperlink>
    </w:p>
    <w:p w14:paraId="266BEE81" w14:textId="77777777" w:rsidR="00574201" w:rsidRDefault="00574201" w:rsidP="00B63CBB">
      <w:pPr>
        <w:pStyle w:val="xxmsonormal"/>
        <w:rPr>
          <w:rFonts w:ascii="Arial" w:hAnsi="Arial" w:cs="Arial"/>
        </w:rPr>
      </w:pPr>
    </w:p>
    <w:p w14:paraId="14971BBB" w14:textId="01AEB53F" w:rsidR="00AA2CE5" w:rsidRPr="002F2BA1" w:rsidRDefault="004D7BD1" w:rsidP="00B63CBB">
      <w:pPr>
        <w:pStyle w:val="xxmsonormal"/>
        <w:rPr>
          <w:rFonts w:ascii="Arial" w:hAnsi="Arial" w:cs="Arial"/>
        </w:rPr>
      </w:pPr>
      <w:r w:rsidRPr="002F2BA1">
        <w:rPr>
          <w:rFonts w:ascii="Arial" w:hAnsi="Arial" w:cs="Arial"/>
        </w:rPr>
        <w:t xml:space="preserve">This </w:t>
      </w:r>
      <w:r w:rsidR="002F2BA1" w:rsidRPr="002F2BA1">
        <w:rPr>
          <w:rFonts w:ascii="Arial" w:hAnsi="Arial" w:cs="Arial"/>
        </w:rPr>
        <w:t xml:space="preserve">regulation </w:t>
      </w:r>
      <w:r w:rsidRPr="002F2BA1">
        <w:rPr>
          <w:rFonts w:ascii="Arial" w:hAnsi="Arial" w:cs="Arial"/>
        </w:rPr>
        <w:t xml:space="preserve">covers the Registration, Evaluation, Authorisation and </w:t>
      </w:r>
      <w:r w:rsidR="002F2BA1">
        <w:rPr>
          <w:rFonts w:ascii="Arial" w:hAnsi="Arial" w:cs="Arial"/>
        </w:rPr>
        <w:t>R</w:t>
      </w:r>
      <w:r w:rsidRPr="002F2BA1">
        <w:rPr>
          <w:rFonts w:ascii="Arial" w:hAnsi="Arial" w:cs="Arial"/>
        </w:rPr>
        <w:t>estriction of Chemicals (REACH)</w:t>
      </w:r>
      <w:r w:rsidR="002F2BA1">
        <w:rPr>
          <w:rFonts w:ascii="Arial" w:hAnsi="Arial" w:cs="Arial"/>
        </w:rPr>
        <w:t xml:space="preserve"> and was </w:t>
      </w:r>
      <w:r w:rsidR="00AA2CE5" w:rsidRPr="002F2BA1">
        <w:rPr>
          <w:rFonts w:ascii="Arial" w:hAnsi="Arial" w:cs="Arial"/>
        </w:rPr>
        <w:t>incorporated into UK law f</w:t>
      </w:r>
      <w:r w:rsidR="002F2BA1">
        <w:rPr>
          <w:rFonts w:ascii="Arial" w:hAnsi="Arial" w:cs="Arial"/>
        </w:rPr>
        <w:t>rom the EU REACH regulation.</w:t>
      </w:r>
      <w:r w:rsidR="00AA2CE5" w:rsidRPr="002F2BA1">
        <w:rPr>
          <w:rFonts w:ascii="Arial" w:hAnsi="Arial" w:cs="Arial"/>
        </w:rPr>
        <w:t xml:space="preserve">  It </w:t>
      </w:r>
      <w:r w:rsidR="00AA2CE5" w:rsidRPr="002F2BA1">
        <w:rPr>
          <w:rFonts w:ascii="Arial" w:eastAsia="Times New Roman" w:hAnsi="Arial" w:cs="Arial"/>
        </w:rPr>
        <w:t xml:space="preserve">applies to chemical substances (on their own / as part of a mixture / a manufactured product) that are manufactured in or imported into Great Britain.  Its repeal could have huge implications for UK companies, particularly SMEs in the supply chain </w:t>
      </w:r>
      <w:r w:rsidR="00B44033">
        <w:rPr>
          <w:rFonts w:ascii="Arial" w:eastAsia="Times New Roman" w:hAnsi="Arial" w:cs="Arial"/>
        </w:rPr>
        <w:t>that</w:t>
      </w:r>
      <w:r w:rsidR="00AA2CE5" w:rsidRPr="002F2BA1">
        <w:rPr>
          <w:rFonts w:ascii="Arial" w:eastAsia="Times New Roman" w:hAnsi="Arial" w:cs="Arial"/>
        </w:rPr>
        <w:t xml:space="preserve"> previously </w:t>
      </w:r>
      <w:r w:rsidR="00B44033">
        <w:rPr>
          <w:rFonts w:ascii="Arial" w:eastAsia="Times New Roman" w:hAnsi="Arial" w:cs="Arial"/>
        </w:rPr>
        <w:t>could get</w:t>
      </w:r>
      <w:r w:rsidR="00AA2CE5" w:rsidRPr="002F2BA1">
        <w:rPr>
          <w:rFonts w:ascii="Arial" w:eastAsia="Times New Roman" w:hAnsi="Arial" w:cs="Arial"/>
        </w:rPr>
        <w:t xml:space="preserve"> help from EU suppliers</w:t>
      </w:r>
      <w:r w:rsidR="00B44033">
        <w:rPr>
          <w:rFonts w:ascii="Arial" w:eastAsia="Times New Roman" w:hAnsi="Arial" w:cs="Arial"/>
        </w:rPr>
        <w:t xml:space="preserve"> </w:t>
      </w:r>
      <w:r w:rsidR="00AA2CE5" w:rsidRPr="002F2BA1">
        <w:rPr>
          <w:rFonts w:ascii="Arial" w:eastAsia="Times New Roman" w:hAnsi="Arial" w:cs="Arial"/>
        </w:rPr>
        <w:t>/</w:t>
      </w:r>
      <w:r w:rsidR="00B44033">
        <w:rPr>
          <w:rFonts w:ascii="Arial" w:eastAsia="Times New Roman" w:hAnsi="Arial" w:cs="Arial"/>
        </w:rPr>
        <w:t xml:space="preserve"> </w:t>
      </w:r>
      <w:r w:rsidR="00AA2CE5" w:rsidRPr="002F2BA1">
        <w:rPr>
          <w:rFonts w:ascii="Arial" w:eastAsia="Times New Roman" w:hAnsi="Arial" w:cs="Arial"/>
        </w:rPr>
        <w:t>partners and now find themselves to be importers.</w:t>
      </w:r>
    </w:p>
    <w:p w14:paraId="078CC3A5" w14:textId="0BF04041" w:rsidR="004D7BD1" w:rsidRDefault="004D7BD1" w:rsidP="00B63CBB">
      <w:pPr>
        <w:pStyle w:val="xxmsonormal"/>
        <w:rPr>
          <w:rFonts w:ascii="Arial" w:hAnsi="Arial" w:cs="Arial"/>
        </w:rPr>
      </w:pPr>
    </w:p>
    <w:p w14:paraId="1ADDA7BA" w14:textId="0058A2E3" w:rsidR="005F400B" w:rsidRPr="00574201" w:rsidRDefault="005F400B" w:rsidP="00B63CBB">
      <w:pPr>
        <w:pStyle w:val="xxmsonormal"/>
        <w:rPr>
          <w:rFonts w:ascii="Arial" w:hAnsi="Arial" w:cs="Arial"/>
          <w:b/>
          <w:bCs/>
          <w:sz w:val="24"/>
          <w:szCs w:val="24"/>
          <w:u w:val="single"/>
        </w:rPr>
      </w:pPr>
      <w:r w:rsidRPr="00574201">
        <w:rPr>
          <w:rFonts w:ascii="Arial" w:hAnsi="Arial" w:cs="Arial"/>
          <w:b/>
          <w:bCs/>
          <w:sz w:val="24"/>
          <w:szCs w:val="24"/>
          <w:u w:val="single"/>
        </w:rPr>
        <w:t>Health and Safety Regulation</w:t>
      </w:r>
    </w:p>
    <w:p w14:paraId="68AE4C36" w14:textId="77777777" w:rsidR="00574201" w:rsidRDefault="00574201" w:rsidP="00B63CBB">
      <w:pPr>
        <w:pStyle w:val="xxmsonormal"/>
        <w:rPr>
          <w:rFonts w:ascii="Arial" w:hAnsi="Arial" w:cs="Arial"/>
        </w:rPr>
      </w:pPr>
    </w:p>
    <w:p w14:paraId="3C5686CC" w14:textId="6697CD5D" w:rsidR="005F400B" w:rsidRDefault="005F400B" w:rsidP="00B63CBB">
      <w:pPr>
        <w:pStyle w:val="xxmsonormal"/>
        <w:rPr>
          <w:rFonts w:ascii="Arial" w:hAnsi="Arial" w:cs="Arial"/>
        </w:rPr>
      </w:pPr>
      <w:r>
        <w:rPr>
          <w:rFonts w:ascii="Arial" w:hAnsi="Arial" w:cs="Arial"/>
        </w:rPr>
        <w:t xml:space="preserve">A quick </w:t>
      </w:r>
      <w:r w:rsidR="00106E04">
        <w:rPr>
          <w:rFonts w:ascii="Arial" w:hAnsi="Arial" w:cs="Arial"/>
        </w:rPr>
        <w:t>scan</w:t>
      </w:r>
      <w:r>
        <w:rPr>
          <w:rFonts w:ascii="Arial" w:hAnsi="Arial" w:cs="Arial"/>
        </w:rPr>
        <w:t xml:space="preserve"> of the </w:t>
      </w:r>
      <w:hyperlink r:id="rId22" w:history="1">
        <w:r w:rsidRPr="005F400B">
          <w:rPr>
            <w:rStyle w:val="Hyperlink"/>
            <w:rFonts w:ascii="Arial" w:hAnsi="Arial" w:cs="Arial"/>
          </w:rPr>
          <w:t xml:space="preserve">HSE </w:t>
        </w:r>
      </w:hyperlink>
      <w:r>
        <w:rPr>
          <w:rFonts w:ascii="Arial" w:hAnsi="Arial" w:cs="Arial"/>
        </w:rPr>
        <w:t xml:space="preserve">website highlighted 28 UK regulations (see attached Word document) </w:t>
      </w:r>
      <w:r w:rsidR="00C126AC">
        <w:rPr>
          <w:rFonts w:ascii="Arial" w:hAnsi="Arial" w:cs="Arial"/>
        </w:rPr>
        <w:t xml:space="preserve">linked to </w:t>
      </w:r>
      <w:r>
        <w:rPr>
          <w:rFonts w:ascii="Arial" w:hAnsi="Arial" w:cs="Arial"/>
        </w:rPr>
        <w:t>EU Directives.  Many regulations also cross-refer to other EU instruments that are not listed.</w:t>
      </w:r>
    </w:p>
    <w:p w14:paraId="2346B886" w14:textId="44229BEF" w:rsidR="005F400B" w:rsidRDefault="005F400B" w:rsidP="00B63CBB">
      <w:pPr>
        <w:pStyle w:val="xxmsonormal"/>
        <w:rPr>
          <w:rFonts w:ascii="Arial" w:hAnsi="Arial" w:cs="Arial"/>
        </w:rPr>
      </w:pPr>
    </w:p>
    <w:bookmarkStart w:id="0" w:name="_Hlk127893522"/>
    <w:p w14:paraId="7EC4F637" w14:textId="3B801EDC" w:rsidR="005F400B" w:rsidRDefault="00AC1F31" w:rsidP="00B63CBB">
      <w:pPr>
        <w:pStyle w:val="xxmsonormal"/>
        <w:rPr>
          <w:rFonts w:ascii="Arial" w:hAnsi="Arial" w:cs="Arial"/>
        </w:rPr>
      </w:pPr>
      <w:r>
        <w:rPr>
          <w:rFonts w:ascii="Arial" w:hAnsi="Arial" w:cs="Arial"/>
        </w:rPr>
        <w:object w:dxaOrig="1175" w:dyaOrig="760" w14:anchorId="660D2DC3">
          <v:shape id="_x0000_i1026" type="#_x0000_t75" style="width:59.25pt;height:37.5pt" o:ole="">
            <v:imagedata r:id="rId23" o:title=""/>
          </v:shape>
          <o:OLEObject Type="Embed" ProgID="AcroExch.Document.DC" ShapeID="_x0000_i1026" DrawAspect="Icon" ObjectID="_1738594835" r:id="rId24"/>
        </w:object>
      </w:r>
      <w:bookmarkEnd w:id="0"/>
    </w:p>
    <w:p w14:paraId="11FE0E62" w14:textId="71F9965A" w:rsidR="005F400B" w:rsidRDefault="005F400B" w:rsidP="00B63CBB">
      <w:pPr>
        <w:pStyle w:val="xxmsonormal"/>
        <w:rPr>
          <w:rFonts w:ascii="Arial" w:hAnsi="Arial" w:cs="Arial"/>
        </w:rPr>
      </w:pPr>
    </w:p>
    <w:p w14:paraId="53DC8D4B" w14:textId="2C658C5A" w:rsidR="00C126AC" w:rsidRDefault="005F400B" w:rsidP="00B63CBB">
      <w:pPr>
        <w:pStyle w:val="xxmsonormal"/>
        <w:rPr>
          <w:rFonts w:ascii="Arial" w:hAnsi="Arial" w:cs="Arial"/>
        </w:rPr>
      </w:pPr>
      <w:r>
        <w:rPr>
          <w:rFonts w:ascii="Arial" w:hAnsi="Arial" w:cs="Arial"/>
        </w:rPr>
        <w:t>This is not a complete list</w:t>
      </w:r>
      <w:r w:rsidR="00106E04">
        <w:rPr>
          <w:rFonts w:ascii="Arial" w:hAnsi="Arial" w:cs="Arial"/>
        </w:rPr>
        <w:t xml:space="preserve"> of Health and Safety legislation, which </w:t>
      </w:r>
      <w:r w:rsidR="00B4028B">
        <w:rPr>
          <w:rFonts w:ascii="Arial" w:hAnsi="Arial" w:cs="Arial"/>
        </w:rPr>
        <w:t>comes under</w:t>
      </w:r>
      <w:r w:rsidR="00106E04">
        <w:rPr>
          <w:rFonts w:ascii="Arial" w:hAnsi="Arial" w:cs="Arial"/>
        </w:rPr>
        <w:t xml:space="preserve"> REUL.  However, i</w:t>
      </w:r>
      <w:r>
        <w:rPr>
          <w:rFonts w:ascii="Arial" w:hAnsi="Arial" w:cs="Arial"/>
        </w:rPr>
        <w:t>t is illustrative of the complexity and extensively interconnected nature of EU and UK legislation.</w:t>
      </w:r>
    </w:p>
    <w:p w14:paraId="4DA3F781" w14:textId="77777777" w:rsidR="00156833" w:rsidRDefault="00156833" w:rsidP="00B63CBB">
      <w:pPr>
        <w:pStyle w:val="xxmsonormal"/>
        <w:rPr>
          <w:rFonts w:ascii="Arial" w:hAnsi="Arial" w:cs="Arial"/>
        </w:rPr>
      </w:pPr>
    </w:p>
    <w:p w14:paraId="00B3BB45" w14:textId="5CC79F5F" w:rsidR="009156A9" w:rsidRPr="008C167A" w:rsidRDefault="00156833" w:rsidP="00B63CBB">
      <w:pPr>
        <w:pStyle w:val="xxmsonormal"/>
        <w:rPr>
          <w:rFonts w:ascii="Arial" w:hAnsi="Arial" w:cs="Arial"/>
        </w:rPr>
      </w:pPr>
      <w:r w:rsidRPr="008C167A">
        <w:rPr>
          <w:rFonts w:ascii="Arial" w:hAnsi="Arial" w:cs="Arial"/>
        </w:rPr>
        <w:t xml:space="preserve">It is important to recognise that Health </w:t>
      </w:r>
      <w:r w:rsidR="008C167A" w:rsidRPr="008C167A">
        <w:rPr>
          <w:rFonts w:ascii="Arial" w:hAnsi="Arial" w:cs="Arial"/>
        </w:rPr>
        <w:t xml:space="preserve">and Safety Legislation, notably the </w:t>
      </w:r>
      <w:hyperlink r:id="rId25" w:history="1">
        <w:r w:rsidR="008C167A" w:rsidRPr="00DC2DDD">
          <w:rPr>
            <w:rStyle w:val="Hyperlink"/>
            <w:rFonts w:ascii="Arial" w:hAnsi="Arial" w:cs="Arial"/>
          </w:rPr>
          <w:t>Control of Major Accident Hazards Regulations 2015 (SI 2015/483)</w:t>
        </w:r>
      </w:hyperlink>
      <w:r w:rsidR="008C167A" w:rsidRPr="008C167A">
        <w:rPr>
          <w:rFonts w:ascii="Arial" w:hAnsi="Arial" w:cs="Arial"/>
        </w:rPr>
        <w:t xml:space="preserve">, that relates to major accident and hazard sites comes under REUL. This legislation that directly affects safety at these sites </w:t>
      </w:r>
      <w:r w:rsidR="009156A9" w:rsidRPr="008C167A">
        <w:rPr>
          <w:rFonts w:ascii="Arial" w:hAnsi="Arial" w:cs="Arial"/>
          <w:color w:val="000000"/>
        </w:rPr>
        <w:t xml:space="preserve">should </w:t>
      </w:r>
      <w:r w:rsidR="008C167A" w:rsidRPr="008C167A">
        <w:rPr>
          <w:rFonts w:ascii="Arial" w:hAnsi="Arial" w:cs="Arial"/>
          <w:color w:val="000000"/>
        </w:rPr>
        <w:t xml:space="preserve">be </w:t>
      </w:r>
      <w:r w:rsidR="009156A9" w:rsidRPr="008C167A">
        <w:rPr>
          <w:rFonts w:ascii="Arial" w:hAnsi="Arial" w:cs="Arial"/>
          <w:color w:val="000000"/>
        </w:rPr>
        <w:t xml:space="preserve">subject to an appropriate </w:t>
      </w:r>
      <w:r w:rsidR="008C167A" w:rsidRPr="008C167A">
        <w:rPr>
          <w:rFonts w:ascii="Arial" w:hAnsi="Arial" w:cs="Arial"/>
          <w:color w:val="000000"/>
        </w:rPr>
        <w:t>impact</w:t>
      </w:r>
      <w:r w:rsidR="009156A9" w:rsidRPr="008C167A">
        <w:rPr>
          <w:rFonts w:ascii="Arial" w:hAnsi="Arial" w:cs="Arial"/>
          <w:color w:val="000000"/>
        </w:rPr>
        <w:t xml:space="preserve"> assessment</w:t>
      </w:r>
      <w:r w:rsidR="008C167A" w:rsidRPr="008C167A">
        <w:rPr>
          <w:rFonts w:ascii="Arial" w:hAnsi="Arial" w:cs="Arial"/>
          <w:color w:val="000000"/>
        </w:rPr>
        <w:t xml:space="preserve"> and, as necessary, be retained.</w:t>
      </w:r>
    </w:p>
    <w:p w14:paraId="6647649C" w14:textId="77777777" w:rsidR="00C126AC" w:rsidRDefault="00C126AC" w:rsidP="00B63CBB">
      <w:pPr>
        <w:pStyle w:val="xxmsonormal"/>
        <w:rPr>
          <w:rFonts w:ascii="Arial" w:hAnsi="Arial" w:cs="Arial"/>
        </w:rPr>
      </w:pPr>
    </w:p>
    <w:p w14:paraId="0F09F030" w14:textId="110E38BC" w:rsidR="005F400B" w:rsidRDefault="005F400B" w:rsidP="00B63CBB">
      <w:pPr>
        <w:pStyle w:val="xxmsonormal"/>
        <w:rPr>
          <w:rFonts w:ascii="Arial" w:hAnsi="Arial" w:cs="Arial"/>
        </w:rPr>
      </w:pPr>
      <w:r>
        <w:rPr>
          <w:rFonts w:ascii="Arial" w:hAnsi="Arial" w:cs="Arial"/>
        </w:rPr>
        <w:t xml:space="preserve">Several of the UK regulations </w:t>
      </w:r>
      <w:r w:rsidR="00106E04">
        <w:rPr>
          <w:rFonts w:ascii="Arial" w:hAnsi="Arial" w:cs="Arial"/>
        </w:rPr>
        <w:t xml:space="preserve">highlighted </w:t>
      </w:r>
      <w:r>
        <w:rPr>
          <w:rFonts w:ascii="Arial" w:hAnsi="Arial" w:cs="Arial"/>
        </w:rPr>
        <w:t xml:space="preserve">replaced / modified previous </w:t>
      </w:r>
      <w:r w:rsidR="00C126AC">
        <w:rPr>
          <w:rFonts w:ascii="Arial" w:hAnsi="Arial" w:cs="Arial"/>
        </w:rPr>
        <w:t>legislation</w:t>
      </w:r>
      <w:r>
        <w:rPr>
          <w:rFonts w:ascii="Arial" w:hAnsi="Arial" w:cs="Arial"/>
        </w:rPr>
        <w:t xml:space="preserve">.  </w:t>
      </w:r>
      <w:r w:rsidR="00106E04">
        <w:rPr>
          <w:rFonts w:ascii="Arial" w:hAnsi="Arial" w:cs="Arial"/>
        </w:rPr>
        <w:t xml:space="preserve">This raises the additional concern around the status of such earlier legislation if </w:t>
      </w:r>
      <w:r>
        <w:rPr>
          <w:rFonts w:ascii="Arial" w:hAnsi="Arial" w:cs="Arial"/>
        </w:rPr>
        <w:t xml:space="preserve">EU-derived regulation were </w:t>
      </w:r>
      <w:r w:rsidR="00106E04">
        <w:rPr>
          <w:rFonts w:ascii="Arial" w:hAnsi="Arial" w:cs="Arial"/>
        </w:rPr>
        <w:t xml:space="preserve">repealed through sunset clauses.  </w:t>
      </w:r>
      <w:r w:rsidR="00C126AC">
        <w:rPr>
          <w:rFonts w:ascii="Arial" w:hAnsi="Arial" w:cs="Arial"/>
        </w:rPr>
        <w:t>It</w:t>
      </w:r>
      <w:r w:rsidR="00106E04">
        <w:rPr>
          <w:rFonts w:ascii="Arial" w:hAnsi="Arial" w:cs="Arial"/>
        </w:rPr>
        <w:t xml:space="preserve"> could lead to great uncertainty </w:t>
      </w:r>
      <w:r w:rsidR="00C126AC">
        <w:rPr>
          <w:rFonts w:ascii="Arial" w:hAnsi="Arial" w:cs="Arial"/>
        </w:rPr>
        <w:t xml:space="preserve">which could result in </w:t>
      </w:r>
      <w:r w:rsidR="00106E04">
        <w:rPr>
          <w:rFonts w:ascii="Arial" w:hAnsi="Arial" w:cs="Arial"/>
        </w:rPr>
        <w:t>legal challenges and actual public harm.</w:t>
      </w:r>
    </w:p>
    <w:p w14:paraId="192B3319" w14:textId="77777777" w:rsidR="005F400B" w:rsidRDefault="005F400B" w:rsidP="00B63CBB">
      <w:pPr>
        <w:pStyle w:val="xxmsonormal"/>
        <w:rPr>
          <w:rFonts w:ascii="Arial" w:hAnsi="Arial" w:cs="Arial"/>
        </w:rPr>
      </w:pPr>
    </w:p>
    <w:p w14:paraId="7EA58714" w14:textId="00572C97" w:rsidR="00B44033" w:rsidRPr="00574201" w:rsidRDefault="00B44033" w:rsidP="00B63CBB">
      <w:pPr>
        <w:pStyle w:val="xxmsonormal"/>
        <w:rPr>
          <w:rFonts w:ascii="Arial" w:hAnsi="Arial" w:cs="Arial"/>
          <w:b/>
          <w:bCs/>
          <w:sz w:val="24"/>
          <w:szCs w:val="24"/>
          <w:u w:val="single"/>
        </w:rPr>
      </w:pPr>
      <w:r w:rsidRPr="00574201">
        <w:rPr>
          <w:rFonts w:ascii="Arial" w:hAnsi="Arial" w:cs="Arial"/>
          <w:b/>
          <w:bCs/>
          <w:sz w:val="24"/>
          <w:szCs w:val="24"/>
          <w:u w:val="single"/>
        </w:rPr>
        <w:t>In Conclusion</w:t>
      </w:r>
    </w:p>
    <w:p w14:paraId="5AA18CE5" w14:textId="540EA472" w:rsidR="00C126AC" w:rsidRDefault="00C126AC" w:rsidP="00B63CBB">
      <w:pPr>
        <w:pStyle w:val="xxmsonormal"/>
        <w:rPr>
          <w:rFonts w:ascii="Arial" w:hAnsi="Arial" w:cs="Arial"/>
        </w:rPr>
      </w:pPr>
    </w:p>
    <w:p w14:paraId="50C781AE" w14:textId="04F8ADF0" w:rsidR="00066909" w:rsidRDefault="00066909" w:rsidP="00B63CBB">
      <w:pPr>
        <w:pStyle w:val="xxmsonormal"/>
        <w:rPr>
          <w:rFonts w:ascii="Arial" w:hAnsi="Arial" w:cs="Arial"/>
        </w:rPr>
      </w:pPr>
      <w:r>
        <w:rPr>
          <w:rFonts w:ascii="Arial" w:hAnsi="Arial" w:cs="Arial"/>
        </w:rPr>
        <w:t>The above examples are just a quick snapshot of some specific engineering and technology areas that would be affected by REUL.  There are many more areas in many other sectors.</w:t>
      </w:r>
    </w:p>
    <w:p w14:paraId="3519E835" w14:textId="77777777" w:rsidR="00066909" w:rsidRDefault="00066909" w:rsidP="00B63CBB">
      <w:pPr>
        <w:pStyle w:val="xxmsonormal"/>
        <w:rPr>
          <w:rFonts w:ascii="Arial" w:hAnsi="Arial" w:cs="Arial"/>
        </w:rPr>
      </w:pPr>
    </w:p>
    <w:p w14:paraId="403DECC8" w14:textId="5092620C" w:rsidR="00066909" w:rsidRDefault="002034C7" w:rsidP="00B63CBB">
      <w:pPr>
        <w:pStyle w:val="xxmsonormal"/>
        <w:rPr>
          <w:rFonts w:ascii="Arial" w:hAnsi="Arial" w:cs="Arial"/>
        </w:rPr>
      </w:pPr>
      <w:r>
        <w:rPr>
          <w:rFonts w:ascii="Arial" w:hAnsi="Arial" w:cs="Arial"/>
        </w:rPr>
        <w:t xml:space="preserve">A key focus of the UK Government is to stimulate economic growth, and rightly so.  Over many years </w:t>
      </w:r>
      <w:r w:rsidR="00066909">
        <w:rPr>
          <w:rFonts w:ascii="Arial" w:hAnsi="Arial" w:cs="Arial"/>
        </w:rPr>
        <w:t xml:space="preserve">UK and EU legislation has </w:t>
      </w:r>
      <w:r>
        <w:rPr>
          <w:rFonts w:ascii="Arial" w:hAnsi="Arial" w:cs="Arial"/>
        </w:rPr>
        <w:t xml:space="preserve">together </w:t>
      </w:r>
      <w:r w:rsidR="00066909">
        <w:rPr>
          <w:rFonts w:ascii="Arial" w:hAnsi="Arial" w:cs="Arial"/>
        </w:rPr>
        <w:t>create</w:t>
      </w:r>
      <w:r>
        <w:rPr>
          <w:rFonts w:ascii="Arial" w:hAnsi="Arial" w:cs="Arial"/>
        </w:rPr>
        <w:t>d</w:t>
      </w:r>
      <w:r w:rsidR="00066909">
        <w:rPr>
          <w:rFonts w:ascii="Arial" w:hAnsi="Arial" w:cs="Arial"/>
        </w:rPr>
        <w:t xml:space="preserve"> a complex </w:t>
      </w:r>
      <w:r>
        <w:rPr>
          <w:rFonts w:ascii="Arial" w:hAnsi="Arial" w:cs="Arial"/>
        </w:rPr>
        <w:t xml:space="preserve">framework in </w:t>
      </w:r>
      <w:r w:rsidR="00066909">
        <w:rPr>
          <w:rFonts w:ascii="Arial" w:hAnsi="Arial" w:cs="Arial"/>
        </w:rPr>
        <w:t>economic, social, health</w:t>
      </w:r>
      <w:r>
        <w:rPr>
          <w:rFonts w:ascii="Arial" w:hAnsi="Arial" w:cs="Arial"/>
        </w:rPr>
        <w:t>,</w:t>
      </w:r>
      <w:r w:rsidR="00066909">
        <w:rPr>
          <w:rFonts w:ascii="Arial" w:hAnsi="Arial" w:cs="Arial"/>
        </w:rPr>
        <w:t xml:space="preserve"> environmental and other fields t</w:t>
      </w:r>
      <w:r>
        <w:rPr>
          <w:rFonts w:ascii="Arial" w:hAnsi="Arial" w:cs="Arial"/>
        </w:rPr>
        <w:t>o</w:t>
      </w:r>
      <w:r w:rsidR="00066909">
        <w:rPr>
          <w:rFonts w:ascii="Arial" w:hAnsi="Arial" w:cs="Arial"/>
        </w:rPr>
        <w:t xml:space="preserve"> support the health and well-being of the population, </w:t>
      </w:r>
      <w:r>
        <w:rPr>
          <w:rFonts w:ascii="Arial" w:hAnsi="Arial" w:cs="Arial"/>
        </w:rPr>
        <w:t xml:space="preserve">and the prosperity and </w:t>
      </w:r>
      <w:r w:rsidR="00066909">
        <w:rPr>
          <w:rFonts w:ascii="Arial" w:hAnsi="Arial" w:cs="Arial"/>
        </w:rPr>
        <w:t>security of the nation.  REUL runs the significant risk of undermining th</w:t>
      </w:r>
      <w:r>
        <w:rPr>
          <w:rFonts w:ascii="Arial" w:hAnsi="Arial" w:cs="Arial"/>
        </w:rPr>
        <w:t>e UK’s growth strategy and its future economic success</w:t>
      </w:r>
      <w:r w:rsidR="00066909">
        <w:rPr>
          <w:rFonts w:ascii="Arial" w:hAnsi="Arial" w:cs="Arial"/>
        </w:rPr>
        <w:t>.</w:t>
      </w:r>
    </w:p>
    <w:p w14:paraId="73BE9057" w14:textId="70B44E6B" w:rsidR="00B44033" w:rsidRDefault="00B44033" w:rsidP="00B63CBB">
      <w:pPr>
        <w:pStyle w:val="xxmsonormal"/>
        <w:rPr>
          <w:rFonts w:ascii="Arial" w:hAnsi="Arial" w:cs="Arial"/>
        </w:rPr>
      </w:pPr>
    </w:p>
    <w:sectPr w:rsidR="00B44033"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E9EEE" w14:textId="77777777" w:rsidR="00EE2BFB" w:rsidRDefault="00EE2BFB" w:rsidP="00EE2BFB">
      <w:pPr>
        <w:spacing w:after="0"/>
      </w:pPr>
      <w:r>
        <w:separator/>
      </w:r>
    </w:p>
  </w:endnote>
  <w:endnote w:type="continuationSeparator" w:id="0">
    <w:p w14:paraId="35A6714B" w14:textId="77777777" w:rsidR="00EE2BFB" w:rsidRDefault="00EE2BFB" w:rsidP="00EE2B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99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AFC60" w14:textId="5E422643" w:rsidR="00EE2BFB" w:rsidRDefault="00EE2B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D4BA47" w14:textId="647C1040" w:rsidR="00EE2BFB" w:rsidRDefault="00EE2BFB">
    <w:pPr>
      <w:pStyle w:val="Footer"/>
    </w:pPr>
    <w:r>
      <w:t xml:space="preserve">IET </w:t>
    </w:r>
    <w:r w:rsidR="00B4028B">
      <w:t xml:space="preserve">Engineering examples on the Impact of </w:t>
    </w:r>
    <w:r>
      <w:t>REUL, 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F301C" w14:textId="77777777" w:rsidR="00EE2BFB" w:rsidRDefault="00EE2BFB" w:rsidP="00EE2BFB">
      <w:pPr>
        <w:spacing w:after="0"/>
      </w:pPr>
      <w:r>
        <w:separator/>
      </w:r>
    </w:p>
  </w:footnote>
  <w:footnote w:type="continuationSeparator" w:id="0">
    <w:p w14:paraId="0DD4A763" w14:textId="77777777" w:rsidR="00EE2BFB" w:rsidRDefault="00EE2BFB" w:rsidP="00EE2B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75E9"/>
    <w:multiLevelType w:val="hybridMultilevel"/>
    <w:tmpl w:val="74881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71561"/>
    <w:multiLevelType w:val="multilevel"/>
    <w:tmpl w:val="DC0A2B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3228F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472D2A"/>
    <w:multiLevelType w:val="multilevel"/>
    <w:tmpl w:val="DF402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157534"/>
    <w:multiLevelType w:val="multilevel"/>
    <w:tmpl w:val="22E2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806C6B"/>
    <w:multiLevelType w:val="multilevel"/>
    <w:tmpl w:val="431CF9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2F3135"/>
    <w:multiLevelType w:val="multilevel"/>
    <w:tmpl w:val="FD0A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AD4CA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1F5386C"/>
    <w:multiLevelType w:val="hybridMultilevel"/>
    <w:tmpl w:val="914C9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A582A"/>
    <w:multiLevelType w:val="hybridMultilevel"/>
    <w:tmpl w:val="F55A4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379A6"/>
    <w:multiLevelType w:val="multilevel"/>
    <w:tmpl w:val="499C5F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80659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678389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913821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912498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0835543">
    <w:abstractNumId w:val="2"/>
  </w:num>
  <w:num w:numId="6" w16cid:durableId="729809892">
    <w:abstractNumId w:val="4"/>
  </w:num>
  <w:num w:numId="7" w16cid:durableId="464926936">
    <w:abstractNumId w:val="7"/>
  </w:num>
  <w:num w:numId="8" w16cid:durableId="928151758">
    <w:abstractNumId w:val="8"/>
  </w:num>
  <w:num w:numId="9" w16cid:durableId="121001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77737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62115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C2"/>
    <w:rsid w:val="00066909"/>
    <w:rsid w:val="00067F02"/>
    <w:rsid w:val="000B653A"/>
    <w:rsid w:val="000C0CE0"/>
    <w:rsid w:val="000C1A3F"/>
    <w:rsid w:val="00106E04"/>
    <w:rsid w:val="00133538"/>
    <w:rsid w:val="00154DFF"/>
    <w:rsid w:val="00156833"/>
    <w:rsid w:val="002034C7"/>
    <w:rsid w:val="002F2BA1"/>
    <w:rsid w:val="003001D5"/>
    <w:rsid w:val="004844D2"/>
    <w:rsid w:val="004A6EC4"/>
    <w:rsid w:val="004D3B31"/>
    <w:rsid w:val="004D7BD1"/>
    <w:rsid w:val="004F6D19"/>
    <w:rsid w:val="00505CCF"/>
    <w:rsid w:val="00550282"/>
    <w:rsid w:val="00574201"/>
    <w:rsid w:val="00576013"/>
    <w:rsid w:val="00590B3D"/>
    <w:rsid w:val="00596789"/>
    <w:rsid w:val="00597595"/>
    <w:rsid w:val="005F400B"/>
    <w:rsid w:val="005F5C55"/>
    <w:rsid w:val="006215EB"/>
    <w:rsid w:val="006A0F10"/>
    <w:rsid w:val="006C2C94"/>
    <w:rsid w:val="00700FB7"/>
    <w:rsid w:val="007375B9"/>
    <w:rsid w:val="007C2331"/>
    <w:rsid w:val="007E5C44"/>
    <w:rsid w:val="00831753"/>
    <w:rsid w:val="00850764"/>
    <w:rsid w:val="0085719F"/>
    <w:rsid w:val="008C167A"/>
    <w:rsid w:val="009156A9"/>
    <w:rsid w:val="00937605"/>
    <w:rsid w:val="00956727"/>
    <w:rsid w:val="009730C1"/>
    <w:rsid w:val="009E151C"/>
    <w:rsid w:val="009E67CD"/>
    <w:rsid w:val="00A2796E"/>
    <w:rsid w:val="00AA0D8A"/>
    <w:rsid w:val="00AA2CE5"/>
    <w:rsid w:val="00AC1F31"/>
    <w:rsid w:val="00B4028B"/>
    <w:rsid w:val="00B44033"/>
    <w:rsid w:val="00B63CBB"/>
    <w:rsid w:val="00BB7F1F"/>
    <w:rsid w:val="00BD2BBE"/>
    <w:rsid w:val="00BE2953"/>
    <w:rsid w:val="00C072ED"/>
    <w:rsid w:val="00C126AC"/>
    <w:rsid w:val="00C12D02"/>
    <w:rsid w:val="00C729A8"/>
    <w:rsid w:val="00CA649B"/>
    <w:rsid w:val="00CC305C"/>
    <w:rsid w:val="00CD06D6"/>
    <w:rsid w:val="00CF4A76"/>
    <w:rsid w:val="00D0114B"/>
    <w:rsid w:val="00D67706"/>
    <w:rsid w:val="00D847CF"/>
    <w:rsid w:val="00DA1CC2"/>
    <w:rsid w:val="00DB1DEB"/>
    <w:rsid w:val="00DC2DDD"/>
    <w:rsid w:val="00E0125F"/>
    <w:rsid w:val="00E21140"/>
    <w:rsid w:val="00E267B7"/>
    <w:rsid w:val="00E46097"/>
    <w:rsid w:val="00E66897"/>
    <w:rsid w:val="00EB04A5"/>
    <w:rsid w:val="00EE2BFB"/>
    <w:rsid w:val="00F27436"/>
    <w:rsid w:val="00FB2C08"/>
    <w:rsid w:val="00FE4CAD"/>
    <w:rsid w:val="00F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35A9FB5"/>
  <w15:chartTrackingRefBased/>
  <w15:docId w15:val="{DE7742F5-F683-49F5-8AAD-13908D21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013"/>
    <w:pPr>
      <w:spacing w:after="20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727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727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114B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14B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011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Space After Paragraph"/>
    <w:uiPriority w:val="1"/>
    <w:qFormat/>
    <w:rsid w:val="00597595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956727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6727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styleId="Emphasis">
    <w:name w:val="Emphasis"/>
    <w:basedOn w:val="DefaultParagraphFont"/>
    <w:uiPriority w:val="20"/>
    <w:qFormat/>
    <w:rsid w:val="00D0114B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D0114B"/>
    <w:rPr>
      <w:rFonts w:ascii="Arial" w:eastAsiaTheme="majorEastAsia" w:hAnsi="Arial" w:cstheme="majorBidi"/>
      <w:b/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D0114B"/>
    <w:pPr>
      <w:spacing w:before="200" w:after="160"/>
      <w:ind w:right="864"/>
    </w:pPr>
    <w:rPr>
      <w:i/>
      <w:iCs/>
      <w:color w:val="7F7F7F" w:themeColor="text1" w:themeTint="80"/>
    </w:rPr>
  </w:style>
  <w:style w:type="character" w:customStyle="1" w:styleId="QuoteChar">
    <w:name w:val="Quote Char"/>
    <w:basedOn w:val="DefaultParagraphFont"/>
    <w:link w:val="Quote"/>
    <w:uiPriority w:val="29"/>
    <w:rsid w:val="00D0114B"/>
    <w:rPr>
      <w:rFonts w:ascii="Arial" w:hAnsi="Arial"/>
      <w:i/>
      <w:iCs/>
      <w:color w:val="7F7F7F" w:themeColor="text1" w:themeTint="80"/>
    </w:rPr>
  </w:style>
  <w:style w:type="character" w:customStyle="1" w:styleId="Heading3Char">
    <w:name w:val="Heading 3 Char"/>
    <w:basedOn w:val="DefaultParagraphFont"/>
    <w:link w:val="Heading3"/>
    <w:uiPriority w:val="9"/>
    <w:rsid w:val="00D0114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0114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xmsonormal">
    <w:name w:val="x_msonormal"/>
    <w:basedOn w:val="Normal"/>
    <w:rsid w:val="00EB04A5"/>
    <w:pPr>
      <w:spacing w:after="0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EB04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4A5"/>
    <w:rPr>
      <w:color w:val="0563C1" w:themeColor="hyperlink"/>
      <w:u w:val="single"/>
    </w:rPr>
  </w:style>
  <w:style w:type="paragraph" w:customStyle="1" w:styleId="xxmsonormal">
    <w:name w:val="x_xmsonormal"/>
    <w:basedOn w:val="Normal"/>
    <w:rsid w:val="00EB04A5"/>
    <w:pPr>
      <w:spacing w:after="0"/>
    </w:pPr>
    <w:rPr>
      <w:rFonts w:ascii="Calibri" w:hAnsi="Calibri" w:cs="Calibri"/>
      <w:lang w:eastAsia="en-GB"/>
    </w:rPr>
  </w:style>
  <w:style w:type="paragraph" w:customStyle="1" w:styleId="xxmsolistparagraph">
    <w:name w:val="x_xmsolistparagraph"/>
    <w:basedOn w:val="Normal"/>
    <w:rsid w:val="00EB04A5"/>
    <w:pPr>
      <w:spacing w:after="0"/>
      <w:ind w:left="720"/>
    </w:pPr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012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D847CF"/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47C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847CF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001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06D6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19F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19F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2BF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E2BF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E2BF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2BF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bills.parliament.uk%2Fbills%2F3340&amp;data=05%7C01%7CARylah%40theiet.org%7C1576834de5af4d5fb67508db0463a652%7C37f807baaa3943e38018abddb6f7781c%7C0%7C0%7C638108598255674366%7CUnknown%7CTWFpbGZsb3d8eyJWIjoiMC4wLjAwMDAiLCJQIjoiV2luMzIiLCJBTiI6Ik1haWwiLCJXVCI6Mn0%3D%7C3000%7C%7C%7C&amp;sdata=%2FOu3N2II%2BOialDCbgy%2FMweik9nXw9aQJaUPeHxGMjz4%3D&amp;reserved=0" TargetMode="External"/><Relationship Id="rId13" Type="http://schemas.openxmlformats.org/officeDocument/2006/relationships/hyperlink" Target="https://assets.publishing.service.gov.uk/government/uploads/system/uploads/attachment_data/file/707785/Building_a_Safer_Future_-_web.pdf" TargetMode="External"/><Relationship Id="rId18" Type="http://schemas.openxmlformats.org/officeDocument/2006/relationships/hyperlink" Target="https://www.legislation.gov.uk/uksi/2016/1101/contents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hse.gov.uk/reach/about.htm" TargetMode="External"/><Relationship Id="rId7" Type="http://schemas.openxmlformats.org/officeDocument/2006/relationships/hyperlink" Target="https://www.theiet.org/" TargetMode="External"/><Relationship Id="rId12" Type="http://schemas.openxmlformats.org/officeDocument/2006/relationships/hyperlink" Target="https://www.legislation.gov.uk/ukpga/2022/30/contents" TargetMode="External"/><Relationship Id="rId17" Type="http://schemas.openxmlformats.org/officeDocument/2006/relationships/hyperlink" Target="https://www.legislation.gov.uk/uksi/2016/1091/contents" TargetMode="External"/><Relationship Id="rId25" Type="http://schemas.openxmlformats.org/officeDocument/2006/relationships/hyperlink" Target="https://www.legislation.gov.uk/uksi/2015/483/contents/ma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uidance/product-safety-for-businesses-a-to-z-of-industry-guidance" TargetMode="External"/><Relationship Id="rId20" Type="http://schemas.openxmlformats.org/officeDocument/2006/relationships/hyperlink" Target="https://www.gov.uk/guidance/using-the-ukca-mark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slation.gov.uk/uksi/2015/51/contents" TargetMode="External"/><Relationship Id="rId24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yperlink" Target="https://www.legislation.gov.uk/uksi/2005/735/contents" TargetMode="External"/><Relationship Id="rId23" Type="http://schemas.openxmlformats.org/officeDocument/2006/relationships/image" Target="media/image2.emf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https://www.legislation.gov.uk/uksi/2008/1597/conten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yperlink" Target="https://www.legislation.gov.uk/uksi/2012/632/contents" TargetMode="External"/><Relationship Id="rId22" Type="http://schemas.openxmlformats.org/officeDocument/2006/relationships/hyperlink" Target="https://www.hse.gov.uk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Rylah</dc:creator>
  <cp:keywords/>
  <dc:description/>
  <cp:lastModifiedBy>Andrew Rylah</cp:lastModifiedBy>
  <cp:revision>2</cp:revision>
  <dcterms:created xsi:type="dcterms:W3CDTF">2023-02-22T18:14:00Z</dcterms:created>
  <dcterms:modified xsi:type="dcterms:W3CDTF">2023-02-22T18:14:00Z</dcterms:modified>
</cp:coreProperties>
</file>